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88R11321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a transportation protection agreement as a prepaid funeral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154.002, Finance Code, is amended by amending Subdivision (9) and adding Subdivision (15)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"Prepaid funeral benefits" means prearranged or prepaid funeral or cemetery services or funeral merchandise, including an alternative container, casket, or outer burial container. The term does not include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grave, marker, monument, tombstone, crypt, niche, plot, or lawn crypt unless it is sold in contemplation of trade for a funeral service or funeral merchandise to which this chapter applies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transportation protection agreement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"Transportation protection agreement" means an agreement to pay for transportation of a body from the place of death to a licensed holding facility or licensed crematory, if the place of death is more than 75 miles from the location of the licensed facility that will provide the funeral services.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154.151, Finance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transportation protection agreement is not considered to be a part of a sales contract for prepaid funeral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