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88R9063 BDP-D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VanDeaver, Harless, Garcia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2808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finality of public school accountability determinations.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Subchapter F, Chapter 39, Education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SUBCHAPTER F.</w:t>
      </w:r>
      <w:r xml:space="preserve">
        <w:t> </w:t>
      </w:r>
      <w:r xml:space="preserve">
        <w:t> </w:t>
      </w:r>
      <w:r>
        <w:t xml:space="preserve">PROCEDURES FOR CHALLENGE OF ACCOUNTABILITY DETERMINATION</w:t>
      </w:r>
      <w:r>
        <w:rPr>
          <w:u w:val="single"/>
        </w:rPr>
        <w:t xml:space="preserve">; FINALITY OF ACCOUNTABILITY DETERMINATION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39.151(e),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A school district or open-enrollment charter school may not challenge an agency decision relating to an academic or financial accountability rating under this chapter, including a decision relating to a determination of consecutive school years of unacceptable performance ratings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after the agency has released the district's or school's final academic or financial accountability rating, as applicable, under this chapter for the school year;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,</w:t>
      </w:r>
      <w:r>
        <w:t xml:space="preserve">] in another proceeding if the district or school has had an opportunity to challenge the decision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F, Chapter 39, Education Code, is amended by adding Section 39.152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39.152.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FINALITY OF RATINGS.  The agency may not audit, investigate, or otherwise modify the academic or financial accountability rating assigned to a school district or open-enrollment charter school under this chapter for a school year after the agency has released the district's or school's final academic or financial accountability rating, as applicable, under this chapter for that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an academic or financial accountability rating assigned for the 2023-2024 school year or a later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2808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