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88R9063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finality of public school accountability determinations.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F, Chapter 39, Education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F.</w:t>
      </w:r>
      <w:r xml:space="preserve">
        <w:t> </w:t>
      </w:r>
      <w:r xml:space="preserve">
        <w:t> </w:t>
      </w:r>
      <w:r>
        <w:t xml:space="preserve">PROCEDURES FOR CHALLENGE OF ACCOUNTABILITY DETERMINATION</w:t>
      </w:r>
      <w:r>
        <w:rPr>
          <w:u w:val="single"/>
        </w:rPr>
        <w:t xml:space="preserve">; FINALITY OF ACCOUNTABILITY DETERMINATION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39.151(e),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school district or open-enrollment charter school may not challenge an agency decision relating to an academic or financial accountability rating under this chapter, including a decision relating to a determination of consecutive school years of unacceptable performance ratings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agency has released the district's or school's final academic or financial accountability rating, as applicable, under this chapter for the school year;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in another proceeding if the district or school has had an opportunity to challenge the decision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39, Education Code, is amended by adding Section 39.152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FINALITY OF RATINGS.  The agency may not audit, investigate, or otherwise modify the academic or financial accountability rating assigned to a school district or open-enrollment charter school under this chapter for a school year after the agency has released the district's or school's final academic or financial accountability rating, as applicable, under this chapter for that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academic or financial accountability rating assigned for the 2023-2024 school year or a later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