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Shaheen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2814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ownership and operation of columbariums by funeral establishment license holders.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651.351, Occupations Code, is amended by adding Subsection (j)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(j)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funeral establishment may own and operate a columbarium, as defined by Section 711.001, Health and Safety Code, for the purpose of storing cremated remains. </w:t>
      </w:r>
      <w:r>
        <w:rPr>
          <w:u w:val="single"/>
        </w:rPr>
        <w:t xml:space="preserve"> </w:t>
      </w:r>
      <w:r>
        <w:rPr>
          <w:u w:val="single"/>
        </w:rPr>
        <w:t xml:space="preserve">A funeral establishment that owns or operates a columbarium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establish a perpetual care and maintenance fund to support the continued care, maintenance, and transition of stored remains of the columbarium;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own the property where the funeral establishment and columbarium are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2814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