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88R11043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for access to certain location information by certain law enforcement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18B.322(c),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application must be filed with a district judge in the applicable judicial district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prosecutor's or assistant's own motion;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request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an authorized peace officer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a designated law enforcement office or agency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sheriff's department of a county with a population of 800,000 or more adjacent to a county with a population of 3.3 million or more;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an authorized peace officer commissioned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18B.325(a),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authorized peace officer </w:t>
      </w:r>
      <w:r>
        <w:rPr>
          <w:u w:val="single"/>
        </w:rPr>
        <w:t xml:space="preserve">described by Article 18B.322(c)(2)(A) or (B)</w:t>
      </w:r>
      <w:r>
        <w:t xml:space="preserve"> [</w:t>
      </w:r>
      <w:r>
        <w:rPr>
          <w:strike/>
        </w:rPr>
        <w:t xml:space="preserve">of a designated law enforcement office or agency or an authorized peace officer commissioned by the department</w:t>
      </w:r>
      <w:r>
        <w:t xml:space="preserve">] may, without a warrant, require the disclosure of location information described by Article 18B.321(a)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officer reasonably believes an immediate life-threatening situation exists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within the officer's territorial jurisdiction;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requires the disclosure of the location information before a warrant can, with due diligence, be obtained under this subchapter;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there are sufficient grounds under this subchapter on which to obtain a warrant requiring the disclosure of the location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