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88R8566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2824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an open-enrollment charter school to conduct an efficiency audit before applying for designation as a charter district or for the guarantee of certain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12.135, Education Code, is amended to read as follows:</w:t>
      </w:r>
    </w:p>
    <w:p w:rsidR="003F3435" w:rsidRDefault="0032493E">
      <w:pPr>
        <w:spacing w:line="480" w:lineRule="auto"/>
        <w:ind w:firstLine="720"/>
        <w:jc w:val="both"/>
      </w:pPr>
      <w:r>
        <w:t xml:space="preserve">Sec.</w:t>
      </w:r>
      <w:r xml:space="preserve">
        <w:t> </w:t>
      </w:r>
      <w:r>
        <w:t xml:space="preserve">12.135.</w:t>
      </w:r>
      <w:r xml:space="preserve">
        <w:t> </w:t>
      </w:r>
      <w:r xml:space="preserve">
        <w:t> </w:t>
      </w:r>
      <w:r>
        <w:t xml:space="preserve">DESIGNATION AS CHARTER DISTRICT FOR PURPOSES OF BOND GUARANTEE. </w:t>
      </w:r>
      <w:r>
        <w:t xml:space="preserve"> </w:t>
      </w:r>
      <w:r>
        <w:t xml:space="preserve">(a) </w:t>
      </w:r>
      <w:r>
        <w:t xml:space="preserve"> </w:t>
      </w:r>
      <w:r>
        <w:t xml:space="preserve">On the application of the charter holder, the commissioner may grant designation as a charter district to an open-enrollment charter school that meets financial standards adopted by the commissioner </w:t>
      </w:r>
      <w:r>
        <w:rPr>
          <w:u w:val="single"/>
        </w:rPr>
        <w:t xml:space="preserve">and that has conducted an efficiency audit in accordance with Section 12.1351</w:t>
      </w:r>
      <w:r>
        <w:t xml:space="preserve">. </w:t>
      </w:r>
      <w:r>
        <w:t xml:space="preserve"> </w:t>
      </w:r>
      <w:r>
        <w:t xml:space="preserve">The financial standards must require an open-enrollment charter school to have an investment grade credit rating as specified by Section 45.0541.</w:t>
      </w:r>
    </w:p>
    <w:p w:rsidR="003F3435" w:rsidRDefault="0032493E">
      <w:pPr>
        <w:spacing w:line="480" w:lineRule="auto"/>
        <w:ind w:firstLine="720"/>
        <w:jc w:val="both"/>
      </w:pPr>
      <w:r>
        <w:t xml:space="preserve">(b)</w:t>
      </w:r>
      <w:r xml:space="preserve">
        <w:t> </w:t>
      </w:r>
      <w:r xml:space="preserve">
        <w:t> </w:t>
      </w:r>
      <w:r>
        <w:rPr>
          <w:u w:val="single"/>
        </w:rPr>
        <w:t xml:space="preserve">Subject to Section 12.1351, a</w:t>
      </w:r>
      <w:r>
        <w:t xml:space="preserve"> [</w:t>
      </w:r>
      <w:r>
        <w:rPr>
          <w:strike/>
        </w:rPr>
        <w:t xml:space="preserve">A</w:t>
      </w:r>
      <w:r>
        <w:t xml:space="preserve">] charter district may apply for bonds issued under Chapter 53 for the open-enrollment charter school, including refunding and refinanced bonds, to be guaranteed by the permanent school fund as provided by Chapter 45.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12, Education Code, is amended by adding Section 12.1351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12.1351.</w:t>
      </w:r>
      <w:r>
        <w:rPr>
          <w:u w:val="single"/>
        </w:rPr>
        <w:t xml:space="preserve"> </w:t>
      </w:r>
      <w:r>
        <w:rPr>
          <w:u w:val="single"/>
        </w:rPr>
        <w:t xml:space="preserve"> </w:t>
      </w:r>
      <w:r>
        <w:rPr>
          <w:u w:val="single"/>
        </w:rPr>
        <w:t xml:space="preserve">EFFICIENCY AUDIT.  (a) </w:t>
      </w:r>
      <w:r>
        <w:rPr>
          <w:u w:val="single"/>
        </w:rPr>
        <w:t xml:space="preserve"> </w:t>
      </w:r>
      <w:r>
        <w:rPr>
          <w:u w:val="single"/>
        </w:rPr>
        <w:t xml:space="preserve">In this section, "efficiency audit" means an investigation of the operations of an open-enrollment charter school to examine fiscal management, efficiency, and utilization of resources.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an open-enrollment charter school must conduct an efficiency audit and hold an open meeting to discuss the results of the efficiency audit before applying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designation as a charter district under Section 12.135(a);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bond to be guaranteed under Section 12.135(b), if the application is submitted one year or more after the school is designated as a charter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open-enrollment charter school shall pay the costs associated with an efficiency audit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governing body of an open-enrollment charter school must select an auditor to conduct an efficiency audit under this section not later than the last day of the fourth month before the date on which the school submits an application described by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governing body of the open-enrollment charter school may select for purposes of Subsection (d) the auditor that conducts the school's annual audit under Section 44.008 and include the efficiency audit as part of the school's annual audit.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auditor selected by the governing body of an open-enrollment charter school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follow the guidelines established by the Legislative Budget Board under Section 11.184;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independence from the school;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complete the efficiency audit not later than the last day of the third month after the date on which the auditor was selected.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open-enrollment charter school shall provide all documents, records, and personnel requested by the auditor as needed to conduct the audit in an efficient manner.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the 30th day before the date the open-enrollment charter school submits an application described by Subsection (b), the school shall post the results of the efficiency audit on the school's Internet website.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