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88R13954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w:t>
      </w:r>
      <w:r xml:space="preserve">
        <w:tab wTab="150" tlc="none" cTlc="0"/>
      </w:r>
      <w:r>
        <w:t xml:space="preserve">H.B.</w:t>
      </w:r>
      <w:r xml:space="preserve">
        <w:t> </w:t>
      </w:r>
      <w:r>
        <w:t xml:space="preserve">No.</w:t>
      </w:r>
      <w:r xml:space="preserve">
        <w:t> </w:t>
      </w:r>
      <w:r>
        <w:t xml:space="preserve">2829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relocation of the Battleship "Texas" after refurbishment.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T, Chapter 22, Parks and Wildlife Code, is amended by adding Section 22.263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22.263.</w:t>
      </w:r>
      <w:r>
        <w:rPr>
          <w:u w:val="single"/>
        </w:rPr>
        <w:t xml:space="preserve"> </w:t>
      </w:r>
      <w:r>
        <w:rPr>
          <w:u w:val="single"/>
        </w:rPr>
        <w:t xml:space="preserve"> </w:t>
      </w:r>
      <w:r>
        <w:rPr>
          <w:u w:val="single"/>
        </w:rPr>
        <w:t xml:space="preserve">RELOCATION.  Notwithstanding any other law, a provision of an agreement related to the relocation of the Battleship "Texas" after the repair and preservation of the battleship is not valid unless the provision provides for the relocation of the battleship to the San Jacinto Battleground State Historic 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