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88R10702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multimodal transportation projects; authorizing the issuance of revenue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201, Transportation Code, is amended by adding Section 201.6085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201.6085.</w:t>
      </w:r>
      <w:r>
        <w:rPr>
          <w:u w:val="single"/>
        </w:rPr>
        <w:t xml:space="preserve"> </w:t>
      </w:r>
      <w:r>
        <w:rPr>
          <w:u w:val="single"/>
        </w:rPr>
        <w:t xml:space="preserve"> </w:t>
      </w:r>
      <w:r>
        <w:rPr>
          <w:u w:val="single"/>
        </w:rPr>
        <w:t xml:space="preserve">MULTIMODAL PROJECTS. </w:t>
      </w:r>
      <w:r>
        <w:rPr>
          <w:u w:val="single"/>
        </w:rPr>
        <w:t xml:space="preserve"> </w:t>
      </w:r>
      <w:r>
        <w:rPr>
          <w:u w:val="single"/>
        </w:rPr>
        <w:t xml:space="preserve">(a) </w:t>
      </w:r>
      <w:r>
        <w:rPr>
          <w:u w:val="single"/>
        </w:rPr>
        <w:t xml:space="preserve"> </w:t>
      </w:r>
      <w:r>
        <w:rPr>
          <w:u w:val="single"/>
        </w:rPr>
        <w:t xml:space="preserve">In this section, "fund" means the multimodal project revolving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multimodal project revolving fund is an account in the general revenue fund.</w:t>
      </w:r>
      <w:r>
        <w:rPr>
          <w:u w:val="single"/>
        </w:rPr>
        <w:t xml:space="preserve"> </w:t>
      </w:r>
      <w:r>
        <w:rPr>
          <w:u w:val="single"/>
        </w:rPr>
        <w:t xml:space="preserve"> </w:t>
      </w:r>
      <w:r>
        <w:rPr>
          <w:u w:val="single"/>
        </w:rPr>
        <w:t xml:space="preserve">The fund is administered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money shall be credited to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the commission receives as a gift, grant, or donation for a purpose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commission for the purposes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by the commission for the repayment of a loan made by the program established under Subsection (f);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proceeds of bonds issued under Subsection (g);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deposits and investments of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fund may be appropriated only to the commission for the purposes of administering the fund and the program established under Subsection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financial transactions of the fund are subject to audit by the state auditor.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by rule shall establish a revolving loan program to use money from the fund to provide loans for qualified projects to local governmental entities, including municipalities, counties, port authorities, and special districts.  To be a qualified project, a project must enhance connectivity between  marine ports, airports, inland ports, and the state highway system and may include projects that deepen or widen a ship channel.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issue revenue bonds for the purpose of providing money for the fund. </w:t>
      </w:r>
      <w:r>
        <w:rPr>
          <w:u w:val="single"/>
        </w:rPr>
        <w:t xml:space="preserve"> </w:t>
      </w:r>
      <w:r>
        <w:rPr>
          <w:u w:val="single"/>
        </w:rPr>
        <w:t xml:space="preserve">Bonds issued under this subsection may be issued for terms of 50 or 100 years.  The aggregate principal amount of the bonds issued under this subsection that are outstanding at any time may not exceed 25 percent of the amount of money in the fund.  Bond proceeds shall be deposited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