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Slawson</w:t>
      </w:r>
      <w:r>
        <w:t xml:space="preserve"> (Senate Sponsor</w:t>
      </w:r>
      <w:r xml:space="preserve">
        <w:t> </w:t>
      </w:r>
      <w:r>
        <w:t xml:space="preserve">-</w:t>
      </w:r>
      <w:r xml:space="preserve">
        <w:t> </w:t>
      </w:r>
      <w:r>
        <w:t xml:space="preserve">Birdwell)</w:t>
      </w:r>
      <w:r xml:space="preserve">
        <w:tab wTab="150" tlc="none" cTlc="0"/>
      </w:r>
      <w:r>
        <w:t xml:space="preserve">H.B.</w:t>
      </w:r>
      <w:r xml:space="preserve">
        <w:t> </w:t>
      </w:r>
      <w:r>
        <w:t xml:space="preserve">No.</w:t>
      </w:r>
      <w:r xml:space="preserve">
        <w:t> </w:t>
      </w:r>
      <w:r>
        <w:t xml:space="preserve">2835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a portion of State Highway 144 in Hood and Somervell Counties as the Ed Shipman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ED SHIPMAN MEMORIAL HIGHWAY.  (a)  The portion of State Highway 144 in Hood and Somervell Counties between its intersection with U.S. Highway 67 and its intersection with Mitchell Bend Highway is designated as the Ed Shipman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Ed Shipman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