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88R7382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2839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liquidity stress test for certain insurance companies.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823, Insurance Code, is amended by adding Section 823.0596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823.0596.</w:t>
      </w:r>
      <w:r>
        <w:rPr>
          <w:u w:val="single"/>
        </w:rPr>
        <w:t xml:space="preserve"> </w:t>
      </w:r>
      <w:r>
        <w:rPr>
          <w:u w:val="single"/>
        </w:rPr>
        <w:t xml:space="preserve"> </w:t>
      </w:r>
      <w:r>
        <w:rPr>
          <w:u w:val="single"/>
        </w:rPr>
        <w:t xml:space="preserve">LIQUIDITY STRESS TEST.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"Liquidity stress test framework" means an evidence-based analysis that aims to capture the impact on financial markets of aggregate asset sales of certain insurers under various liquidity stress scenarios.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"Scope criteria" means the designated exposure bases, including minimum magnitudes of the bases for a specified data year, adopted by the commissioner by rule under Subsection (e) to establish a preliminary list of insurers included in the liquidity stress test framework for that data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"Ultimate controlling person" has the meaning assigned by Section 823.055.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ultimate controlling person of an insurer shall file the insurer's results of a specific year's liquidity stress test performed using the liquidity stress test framework adopted by the commissioner by rule under Subsection (e)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state is the lead state of the insurer's group;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insurer or the insurer's group meets the scope criteria.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filing must be made on the reporting template for the relevant year adopted by the commissioner by rule under Subsection (e).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exempt from the filing requirement for a data year an insurer described by Subsection (b) after the commissioner consults with other state insurance commissioners regarding the impact that exempting the insurer may have on the aggregation of liquidity stress test results filed by other insurers with those states.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by rule shall adopt a liquidity stress test framework, including scope criteria and reporting templates, consistent with the framework published by the National Association of Insurance Commissioners to facilitate the aggregation of results from the liquidity stress test filed with this and other states.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collect the results filed under Subsection (b) and report them to the National Association of Insurance Commissioners in a manner that facilitates the aggregation of other insurers' results filed with this and other states.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addition to the confidentiality protections under Section 823.011: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filing required by Subsection (b) in the possession or control of the department that is obtained by, created by, or disclosed to the commissioner or any other person, including the National Association of Insurance Commissioners, is recognized by this state as being proprietary and to contain trade secrets;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 and any other person, including the National Association of Insurance Commissioners, who receives a filing required by Subsection (b) may not testify or be required to testify in any private civil action concerning that filing.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