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88R3763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a public school student from  the classroom for engaging in conduct involving the possession of certain prohibited substances.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37.006,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student shall be removed from class and placed in a disciplinary alternative education program as provided by Section 37.008 if the student: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engages in conduct involving a public school that contains the elements of the offense of false alarm or report under Section 42.06, Penal Code, or terroristic threat under Section 22.07, Penal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(a-1),</w:t>
      </w:r>
      <w:r>
        <w:t xml:space="preserve"> commits the following on or within 300 feet of school property, as measured from any point on the school's real property boundary line, or while attending a school-sponsored or school-related activity on or off of school property: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engages in conduct punishable as a felony;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engages in conduct that contains the elements of the offense of assault under Section 22.01(a)(1), Penal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sells, gives, or delivers to another person or possesses or uses or is under the influence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marihuana or a controlled substance, as defined by Chapter 481, Health and Safety Code, or by 21 U.S.C. Section 801 et seq.;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dangerous drug, as defined by Chapter 483,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sells, gives, or delivers to another person an alcoholic beverage, as defined by Section 1.04, Alcoholic Beverage Code, commits a serious act or offense while under the influence of alcohol, or possesses, uses, or is under the influence of an alcoholic beverage;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engages in conduct that contains the elements of an offense relating to an abusable volatile chemical under Sections 485.031 through 485.034,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engages in conduct that contains the elements of the offense of public lewdness under Section 21.07, Penal Code, or indecent exposure under Section 21.08, Penal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engages in conduct that contains the elements of the offense of harassment under Section 42.07(a)(1), (2), (3), or (7), Penal Code, against an employee of the school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student may but is not required to be removed from class and placed in a disciplinary alternative education program as provided by Section 37.008 if the student engages in conduct that contains the elements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offense of possession of marihuana under Section 481.121, Health and Safety Code, if the amount of marihuana possessed is two ounces or less;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offense of possession of a controlled substance under Section 481.116 or 481.1161, Health and Safety Code, if the substance possessed is an amount less than one gram of tetrahydrocannabinols or cannabinol derivatives that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contained in an electronic or other device that simulates smoking by using a mechanical heating element, battery, or electronic circuit to deliver a substance described by this subdivision to the individual inhaling from the device;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consumable liquid solution or other material aerosolized or vaporized during the use of an electronic or other device described by this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