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maintaining certain voter registration information and reviewing ballots voted by mail;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 Election Code, is amended by adding Section 18.0045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18.0045.</w:t>
      </w:r>
      <w:r>
        <w:rPr>
          <w:u w:val="single"/>
        </w:rPr>
        <w:t xml:space="preserve"> </w:t>
      </w:r>
      <w:r>
        <w:rPr>
          <w:u w:val="single"/>
        </w:rPr>
        <w:t xml:space="preserve"> </w:t>
      </w:r>
      <w:r>
        <w:rPr>
          <w:u w:val="single"/>
        </w:rPr>
        <w:t xml:space="preserve">RECORD OF VOTERS REMOVED FROM LIST.  (</w:t>
      </w:r>
      <w:r>
        <w:rPr>
          <w:u w:val="single"/>
        </w:rPr>
        <w:t xml:space="preserve">a) </w:t>
      </w:r>
      <w:r>
        <w:rPr>
          <w:u w:val="single"/>
        </w:rPr>
        <w:t xml:space="preserve"> </w:t>
      </w:r>
      <w:r>
        <w:rPr>
          <w:u w:val="single"/>
        </w:rPr>
        <w:t xml:space="preserve">The registrar shall retain the voter registration application of any person whose name is removed from a list of registered voters prepared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voter registration information was recorded on an optional storage method under Section 13.104, the information may be substituted for the retained registration application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information and records held by the registrar under this section, other than information described as confidential under Section 13.004, are open records for the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registrar commits an offense if the registrar knowingly fails to comply with a requirement under this section.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registrar may use funds dedicated under Chapter 19 for the purpose of defraying costs associated with complying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18, Election Code, is amended by adding Section 18.0085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18.0085.</w:t>
      </w:r>
      <w:r>
        <w:rPr>
          <w:u w:val="single"/>
        </w:rPr>
        <w:t xml:space="preserve"> </w:t>
      </w:r>
      <w:r>
        <w:rPr>
          <w:u w:val="single"/>
        </w:rPr>
        <w:t xml:space="preserve"> </w:t>
      </w:r>
      <w:r>
        <w:rPr>
          <w:u w:val="single"/>
        </w:rPr>
        <w:t xml:space="preserve">DATABASE OF LISTS AVAILABLE ON COUNTY WEBSITE.  (a) </w:t>
      </w:r>
      <w:r>
        <w:rPr>
          <w:u w:val="single"/>
        </w:rPr>
        <w:t xml:space="preserve"> </w:t>
      </w:r>
      <w:r>
        <w:rPr>
          <w:u w:val="single"/>
        </w:rPr>
        <w:t xml:space="preserve">The registrar shall make a copy of any list prepared under this subchapter available on the county's publicly accessible Internet website in a searchable, sortable, and downloadable database format.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registrar may use funds dedicated under Chapter 19 for the purpose of defraying costs associated with developing and maintaining the database prescribed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registrar commits an offense if the registrar knowingly fails to comply with the requirements under Subsection (a).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87.027(i) and (j), Election Code, are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w:t>
      </w:r>
      <w:r>
        <w:t xml:space="preserve"> </w:t>
      </w:r>
      <w:r>
        <w:t xml:space="preserve">The committee </w:t>
      </w:r>
      <w:r>
        <w:rPr>
          <w:u w:val="single"/>
        </w:rPr>
        <w:t xml:space="preserve">shall</w:t>
      </w:r>
      <w:r>
        <w:t xml:space="preserve"> [</w:t>
      </w:r>
      <w:r>
        <w:rPr>
          <w:strike/>
        </w:rPr>
        <w:t xml:space="preserve">may</w:t>
      </w:r>
      <w:r>
        <w:t xml:space="preserve">] also compare the signatures with any known signature of the voter on file with the county clerk or voter registrar to determine whether the signatures are those of the voter. </w:t>
      </w:r>
      <w:r>
        <w:t xml:space="preserve"> </w:t>
      </w:r>
      <w:r>
        <w:rPr>
          <w:u w:val="single"/>
        </w:rPr>
        <w:t xml:space="preserve">The committee shall also compare the information provided by the voter under Section 84.002(a)(1-a) on the voter's ballot application with the information provided by the voter under Section 86.002(g) and any known copies of the information on file with the county clerk or voter registrar.</w:t>
      </w:r>
      <w:r>
        <w:t xml:space="preserve"> </w:t>
      </w:r>
      <w:r>
        <w:t xml:space="preserve"> </w:t>
      </w:r>
      <w:r>
        <w:t xml:space="preserve">Except as provided by Subsection (l), a determination under this subsection that the signatures </w:t>
      </w:r>
      <w:r>
        <w:rPr>
          <w:u w:val="single"/>
        </w:rPr>
        <w:t xml:space="preserve">or provided information</w:t>
      </w:r>
      <w:r>
        <w:t xml:space="preserve"> are not those of the voter must be made by a majority vote of the committee's membership. </w:t>
      </w:r>
      <w:r>
        <w:t xml:space="preserve"> </w:t>
      </w:r>
      <w:r>
        <w:t xml:space="preserve">The committee shall place the jacket envelopes, carrier envelopes, and applications of voters whose signatures </w:t>
      </w:r>
      <w:r>
        <w:rPr>
          <w:u w:val="single"/>
        </w:rPr>
        <w:t xml:space="preserve">or provided information</w:t>
      </w:r>
      <w:r>
        <w:t xml:space="preserve"> are not those of the voter in separate containers from those of voters whose signatures </w:t>
      </w:r>
      <w:r>
        <w:rPr>
          <w:u w:val="single"/>
        </w:rPr>
        <w:t xml:space="preserve">or provided information</w:t>
      </w:r>
      <w:r>
        <w:t xml:space="preserve"> are those of the voter. </w:t>
      </w:r>
      <w:r>
        <w:t xml:space="preserve">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(j)</w:t>
      </w:r>
      <w:r xml:space="preserve">
        <w:t> </w:t>
      </w:r>
      <w:r xml:space="preserve">
        <w:t> </w:t>
      </w:r>
      <w:r>
        <w:t xml:space="preserve">If a signature verification committee is </w:t>
      </w:r>
      <w:r>
        <w:rPr>
          <w:u w:val="single"/>
        </w:rPr>
        <w:t xml:space="preserve">not</w:t>
      </w:r>
      <w:r>
        <w:t xml:space="preserve"> appointed, the early voting ballot board shall follow the same procedure for accepting the early voting ballots voted by mail as in an election without a signature verification committee, except that the board may not determine whether a voter's signatures on the carrier envelope certificate and ballot application are those of the same person if the committee has determined that the signatures are those of the same person. </w:t>
      </w:r>
      <w:r>
        <w:t xml:space="preserve"> </w:t>
      </w:r>
      <w:r>
        <w:t xml:space="preserve">If the committee has determined that the signatures </w:t>
      </w:r>
      <w:r>
        <w:rPr>
          <w:u w:val="single"/>
        </w:rPr>
        <w:t xml:space="preserve">or provided information</w:t>
      </w:r>
      <w:r>
        <w:t xml:space="preserve"> are not those of the same person, the board may make a determination that the signatures </w:t>
      </w:r>
      <w:r>
        <w:rPr>
          <w:u w:val="single"/>
        </w:rPr>
        <w:t xml:space="preserve">or provided information</w:t>
      </w:r>
      <w:r>
        <w:t xml:space="preserve"> are those of the same person by a majority vote of the board's membership.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87, Election Code, is amended by adding Section 87.0272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87.0272.</w:t>
      </w:r>
      <w:r>
        <w:rPr>
          <w:u w:val="single"/>
        </w:rPr>
        <w:t xml:space="preserve"> </w:t>
      </w:r>
      <w:r>
        <w:rPr>
          <w:u w:val="single"/>
        </w:rPr>
        <w:t xml:space="preserve"> </w:t>
      </w:r>
      <w:r>
        <w:rPr>
          <w:u w:val="single"/>
        </w:rPr>
        <w:t xml:space="preserve">INAPPROPRIATE ACTION BY SIGNATURE VERIFICATION COMMITTEE.  (a)  A chair of a signature verification committee or a chair's designee commits an offense if the chair or chair's designee knowingly fails to perform a requirement under Section 87.027(i).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withhold all or part of any funds distributed by the secretary of state under Chapter 19 from a county that violates the requirements established under Section 87.027(i).</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information required under Section 86.002(g) provided by the voter identifies the same voter identified on the voter's application for voter registration under Section 13.002(c)(8)</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information provided by the voter under Section 84.002(a)(1-a) on the voter's ballot application is determined to be the same as the voter's information provided by the voter under Section 86.002(g) and any known copies of the information on file with the county clerk or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87, Election Code, is amended by adding Section 87.0412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87.0412.</w:t>
      </w:r>
      <w:r>
        <w:rPr>
          <w:u w:val="single"/>
        </w:rPr>
        <w:t xml:space="preserve"> </w:t>
      </w:r>
      <w:r>
        <w:rPr>
          <w:u w:val="single"/>
        </w:rPr>
        <w:t xml:space="preserve"> </w:t>
      </w:r>
      <w:r>
        <w:rPr>
          <w:u w:val="single"/>
        </w:rPr>
        <w:t xml:space="preserve">INAPPROPRIATE ACTION BY BOARD.  (a)  The presiding judge of the early voting ballot board or a judge's designee commits an offense if the presiding judge or designee knowingly fails to perform a requirement under Section 87.041(b).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withhold all or part of any funds distributed by the secretary of state under Chapter 19 from a county that violates the requirements established under Section 87.041(b).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87.126,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early voting clerk who maintains only electronic records of applications for a ballot to be voted by mail, jacket envelopes, carrier envelopes, or ballots commits an offense if the clerk knowingly fails to record the front and back of each application, envelope, or ballot recorded, and provide the records to the early voting ballot board, the signature verification committee, or both.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