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Swanson</w:t>
      </w:r>
      <w:r xml:space="preserve">
        <w:tab wTab="150" tlc="none" cTlc="0"/>
      </w:r>
      <w:r>
        <w:t xml:space="preserve">H.B.</w:t>
      </w:r>
      <w:r xml:space="preserve">
        <w:t> </w:t>
      </w:r>
      <w:r>
        <w:t xml:space="preserve">No.</w:t>
      </w:r>
      <w:r xml:space="preserve">
        <w:t> </w:t>
      </w:r>
      <w:r>
        <w:t xml:space="preserve">2862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confinement of inmates according to biological sex.</w:t>
      </w:r>
    </w:p>
    <w:p w:rsidR="003F3435" w:rsidRDefault="0032493E">
      <w:pPr>
        <w:spacing w:line="480" w:lineRule="auto"/>
        <w:ind w:firstLine="720"/>
        <w:jc w:val="both"/>
      </w:pPr>
      <w:r>
        <w:t xml:space="preserve">BE IT ENACTED BY THE LEGISLATURE OF THE STATE OF TEXAS: </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501, Government Code, is amended by adding Section 501.115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501.115.</w:t>
      </w:r>
      <w:r>
        <w:rPr>
          <w:u w:val="single"/>
        </w:rPr>
        <w:t xml:space="preserve"> </w:t>
      </w:r>
      <w:r>
        <w:rPr>
          <w:u w:val="single"/>
        </w:rPr>
        <w:t xml:space="preserve"> </w:t>
      </w:r>
      <w:r>
        <w:rPr>
          <w:u w:val="single"/>
        </w:rPr>
        <w:t xml:space="preserve">HOUSING OF INMATES ACCORDING TO BIOLOGICAL SEX.  (a) </w:t>
      </w:r>
      <w:r>
        <w:rPr>
          <w:u w:val="single"/>
        </w:rPr>
        <w:t xml:space="preserve"> </w:t>
      </w:r>
      <w:r>
        <w:rPr>
          <w:u w:val="single"/>
        </w:rPr>
        <w:t xml:space="preserve">The department, or institutional division under the jurisdiction of the department, may not allow an inmate to be housed in a cell block, dormitory, temporary housing, or correctional facility that is designed for the biological sex opposite to the inmate's biological sex as correctly determined by:</w:t>
      </w:r>
    </w:p>
    <w:p w:rsidR="003F3435" w:rsidRDefault="0032493E">
      <w:pPr>
        <w:spacing w:line="480" w:lineRule="auto"/>
        <w:ind w:firstLine="1440"/>
        <w:jc w:val="both"/>
      </w:pPr>
      <w:r>
        <w:t xml:space="preserve">(1)</w:t>
      </w:r>
      <w:r xml:space="preserve">
        <w:t> </w:t>
      </w:r>
      <w:r xml:space="preserve">
        <w:t> </w:t>
      </w:r>
      <w:r>
        <w:rPr>
          <w:u w:val="single"/>
        </w:rPr>
        <w:t xml:space="preserve">the inmate's sex organs, determined at the initial intake screening required under the Prison Rape Elimination Act National Standards(28 C.F.R. Section 115.41);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inmate's official birth certificate, as described by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a statement of an inmate's biological sex on the inmate's official birth certificate is considered to have correctly stated the inmate's biological sex only if the statement was: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entered at or near the time of the inmate's birth;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modified to correct any type of scrivener or clerical error in the inmate's biological sex.</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there is a conflict or discrepancy between Subsections (a)(1) and (a)(2), the department, or institutional division under the jurisdiction of the department shall defer to the inmate's official birth certificate, as described by Subsection (b), for the purposes of determining an inmate's biological sex.</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of Vital Statistics, or other applicable state agency, may not impose a cost to the department, or institutional division under the jurisdiction of the department for a request to obtain an inmate's birth certificate for the purposes of determining an inmate's correct biological sex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Pursuant to the Prison Rape Elimination Act National Standards (28 C.F.R., Part 115), the department, or institutional division under the jurisdiction of the department shall consider the unique safety needs of each inmate on a case by case basis, and shall take appropriate action to ensure an inmate's health and safety, so long as such action does not conflict with Subsection (a).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