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88R422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2872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database of employers penalized for failure to pay wages or convicted of certain criminal offenses involving wage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Labor Code, is amended by adding Section 301.0705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301.0705.</w:t>
      </w:r>
      <w:r>
        <w:rPr>
          <w:u w:val="single"/>
        </w:rPr>
        <w:t xml:space="preserve"> </w:t>
      </w:r>
      <w:r>
        <w:rPr>
          <w:u w:val="single"/>
        </w:rPr>
        <w:t xml:space="preserve"> </w:t>
      </w:r>
      <w:r>
        <w:rPr>
          <w:u w:val="single"/>
        </w:rPr>
        <w:t xml:space="preserve">DATABASE REGARDING WAGE THEFT.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"Attorney representing the state"</w:t>
      </w:r>
      <w:r>
        <w:rPr>
          <w:u w:val="single"/>
        </w:rPr>
        <w:t xml:space="preserve"> </w:t>
      </w:r>
      <w:r>
        <w:rPr>
          <w:u w:val="single"/>
        </w:rPr>
        <w:t xml:space="preserve">means a district attorney, criminal district attorney, or county attorney performing the duties of a district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and "employer" have the meanings assigned by Section 61.001.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available on its Internet website a publicly accessible list of all employers in this state that have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assessed an administrative penalty under Section 61.053;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to pay wages by a final order of the commission and have failed to comply with Section 61.063;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convicted of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61.019;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31.04, Penal Code, if the offense involved the theft of a service that was rendered by an employee of the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employer that is a business entity, the database must include the name under which the entity operates and the name of each individual who is an owner of the entity and actively involved in the management of the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must provide notice to an employer not later than the 180th day before the date the employer is listed in the database.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a process by which an employer may, at any time after receiving notice under Subsection (d), dispute the employer's initial inclusion or continued inclusion in the database, as applicable. </w:t>
      </w:r>
      <w:r>
        <w:rPr>
          <w:u w:val="single"/>
        </w:rPr>
        <w:t xml:space="preserve"> </w:t>
      </w:r>
      <w:r>
        <w:rPr>
          <w:u w:val="single"/>
        </w:rPr>
        <w:t xml:space="preserve">The process must require the commission to investigate and make a final determination regarding an employer dispute under this subsection not later than the 21st day after the date the dispute is filed.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 dispute regarding an employer's continued inclusion in the database under Subsection (e), the commission shall consider any material changes to the employer's management or ownership following the incident for which the employer was initially included in the database.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list an employer in the database until the third anniversary of the date the penalty is assessed or the employer is convicted, unless the employer is removed from the database as a result of the commission's determination following a dispute under Subsection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attorney representing the state shall report to the commission the name of each employer that is prosecuted and convicted in the attorney's jurisdiction of an offense described by Subsection (b)(3).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purposes of this section, a person has been convicted of an offense if the person was adjudged guilty of the offense or entered a plea of guilty or nolo contendere in return for a grant of deferred adjudication community supervision, regardless of whether the sentence for the offense was ever imposed or whether the sentence was probated and the person was subsequently discharged from community supervision.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impose any additional requirement on a contractor performing work under a contract that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2258, Government Code;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Davis-Bacon Act (40 U.S.C. Section 3141 et seq.) or another federal law that makes the Davis-Bacon Act applicable to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employer:</w:t>
      </w:r>
    </w:p>
    <w:p w:rsidR="003F3435" w:rsidRDefault="0032493E">
      <w:pPr>
        <w:spacing w:line="480" w:lineRule="auto"/>
        <w:ind w:firstLine="1440"/>
        <w:jc w:val="both"/>
      </w:pPr>
      <w:r>
        <w:t xml:space="preserve">(1)</w:t>
      </w:r>
      <w:r xml:space="preserve">
        <w:t> </w:t>
      </w:r>
      <w:r xml:space="preserve">
        <w:t> </w:t>
      </w:r>
      <w:r>
        <w:t xml:space="preserve">for whom an administrative penalty is assessed on or after the effective date of this Act, regardless of whether the conduct giving rise to the penalty occurred before, on, or after that date;</w:t>
      </w:r>
    </w:p>
    <w:p w:rsidR="003F3435" w:rsidRDefault="0032493E">
      <w:pPr>
        <w:spacing w:line="480" w:lineRule="auto"/>
        <w:ind w:firstLine="1440"/>
        <w:jc w:val="both"/>
      </w:pPr>
      <w:r>
        <w:t xml:space="preserve">(2)</w:t>
      </w:r>
      <w:r xml:space="preserve">
        <w:t> </w:t>
      </w:r>
      <w:r xml:space="preserve">
        <w:t> </w:t>
      </w:r>
      <w:r>
        <w:t xml:space="preserve">who is subject to a final order of the Texas Workforce Commission entered on or after the effective date of this Act, regardless of whether the conduct giving rise to the order occurred before, on, or after that date; or</w:t>
      </w:r>
    </w:p>
    <w:p w:rsidR="003F3435" w:rsidRDefault="0032493E">
      <w:pPr>
        <w:spacing w:line="480" w:lineRule="auto"/>
        <w:ind w:firstLine="1440"/>
        <w:jc w:val="both"/>
      </w:pPr>
      <w:r>
        <w:t xml:space="preserve">(3)</w:t>
      </w:r>
      <w:r xml:space="preserve">
        <w:t> </w:t>
      </w:r>
      <w:r xml:space="preserve">
        <w:t> </w:t>
      </w:r>
      <w:r>
        <w:t xml:space="preserve">for whom a judgment of conviction is entered, or who is placed on deferred adjudication community supervision, on or after the effective date of this Act, regardless of whether the offense for which the employer was convicted, or for which the employer was placed on deferred adjudication community supervision,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2023, the Texas Workforce Commission shall establish the database required by Section 301.0705,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