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88R12808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2883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checkpoints established by the Department of Public Safety at roadways entering this state from New Mexico.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411, Government Code, is amended by adding Section 411.00951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411.00951.</w:t>
      </w:r>
      <w:r>
        <w:rPr>
          <w:u w:val="single"/>
        </w:rPr>
        <w:t xml:space="preserve"> </w:t>
      </w:r>
      <w:r>
        <w:rPr>
          <w:u w:val="single"/>
        </w:rPr>
        <w:t xml:space="preserve"> </w:t>
      </w:r>
      <w:r>
        <w:rPr>
          <w:u w:val="single"/>
        </w:rPr>
        <w:t xml:space="preserve">CHECKPOINTS AT ENTRY POINTS FROM NEW MEXICO.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"Controlled substance" has the meaning assigned by Section 481.002,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"Motor vehicle" has the meaning assigned by Section 541.201,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 program for the purpose of establishing state border crossing checkpoints to prevent controlled substances from entering this state and for the prevention and detection of other criminal offenses.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checkpoint shall be established under Subsection (b) at each point located on a public highway or street leading directly to a border between this state and New Mexico.</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checkpoint established under Subsection (b) shall be operated in a manner as to only stop a motor vehicle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entering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law enforcement has probable cause to believe a driver or passenger of is bringing a controlled substance into this state or has committed another criminal offense.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establish the state border crossing checkpoint program in conjunction with local law enforcement authorities.  The department and local law enforcement authorities may share the cost of staffing the checkpoints.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establish procedures governing the encounter between the driver and the peace officers operating the checkpoint that ensure that any intrusion on the driver is minimized and that the inquiries made are reasonably related to the purpose of the checkpoint.  A peace officer at the checkpoint may not direct a driver or a passenger in a motor vehicle to leave the vehicle or move the vehicle off the roadway unless the officer has reasonable suspicion or probable cause to believe that the person committed or is committing an offense, including an offense relating to the possession of a controlled substance.  However, a peace officer may require that each motor vehicle passing through the checkpoint be diverted to a location immediately adjacent to the roadway, if desirable, to ensure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