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2893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Jurisprudence; May</w:t>
      </w:r>
      <w:r xml:space="preserve">
        <w:t> </w:t>
      </w:r>
      <w:r>
        <w:t xml:space="preserve">15,</w:t>
      </w:r>
      <w:r xml:space="preserve">
        <w:t> </w:t>
      </w:r>
      <w:r>
        <w:t xml:space="preserve">2023, reported adversely, with favorable Committee Substitute by the following vote:</w:t>
      </w:r>
      <w:r>
        <w:t xml:space="preserve"> </w:t>
      </w:r>
      <w:r>
        <w:t xml:space="preserve"> </w:t>
      </w:r>
      <w:r>
        <w:t xml:space="preserve">Yeas 5,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2893</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procedures for transferring certain cases and proceedings between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clerk of the transferring court shall deliver the original will, or the copy of the will offered for probate in lieu of a lost original will, as applicable, to the clerk of the transferee court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or certified mail, return receipt requested;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common or contract carrier, with proof of delivery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delivery service, as defined by 26 U.S.C. Section 7502(f)(2), with proof of delivery receipt.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party requesting the transfer shall pay the cost of delivery under Subsection (h).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1023.005(c), 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case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to a statutory county court or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to a case transferred between a district court and a county court regardless of whether the transferee court and the transferring court are in the same or different counties.  A case transferred between two county courts in the same county is not subject to the requirements of this section.  The clerk serving the county courts shall reassign the case on receipt of an order of transfer.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33.103(c), Estates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As soon as practicable after the effective date of this Act, the Office of Court Administration of the Texas Judicial System shall adopt rules and develop and make available all forms and materials required by Section 72.037, Government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