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31.04(c), Penal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Subsections (a)(4), (b)(2), (b)(4), and (b)(5), notice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sent by:</w:t>
      </w:r>
    </w:p>
    <w:p w:rsidR="003F3435" w:rsidRDefault="0032493E">
      <w:pPr>
        <w:spacing w:line="480" w:lineRule="auto"/>
        <w:ind w:firstLine="2160"/>
        <w:jc w:val="both"/>
      </w:pPr>
      <w:r>
        <w:t xml:space="preserve">(A)</w:t>
      </w:r>
      <w:r xml:space="preserve">
        <w:t> </w:t>
      </w:r>
      <w:r xml:space="preserve">
        <w:t> </w:t>
      </w:r>
      <w:r>
        <w:t xml:space="preserve">registered or certified mail with return receipt requested; or</w:t>
      </w:r>
    </w:p>
    <w:p w:rsidR="003F3435" w:rsidRDefault="0032493E">
      <w:pPr>
        <w:spacing w:line="480" w:lineRule="auto"/>
        <w:ind w:firstLine="2160"/>
        <w:jc w:val="both"/>
      </w:pPr>
      <w:r>
        <w:t xml:space="preserve">(B)</w:t>
      </w:r>
      <w:r xml:space="preserve">
        <w:t> </w:t>
      </w:r>
      <w:r xml:space="preserve">
        <w:t> </w:t>
      </w:r>
      <w:r>
        <w:t xml:space="preserve">commercial delivery service; and</w:t>
      </w:r>
    </w:p>
    <w:p w:rsidR="003F3435" w:rsidRDefault="0032493E">
      <w:pPr>
        <w:spacing w:line="480" w:lineRule="auto"/>
        <w:ind w:firstLine="1440"/>
        <w:jc w:val="both"/>
      </w:pPr>
      <w:r>
        <w:t xml:space="preserve">(3)</w:t>
      </w:r>
      <w:r xml:space="preserve">
        <w:t> </w:t>
      </w:r>
      <w:r xml:space="preserve">
        <w:t> </w:t>
      </w:r>
      <w:r>
        <w:t xml:space="preserve">sent to the actor using the actor's mailing address shown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rental agreement or service agreement</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records of the person whose service was secured;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actor secured performance of service by issuing or passing a check or similar sight order for the payment of money, using the actor's address shown on:</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check or order;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records of the bank or other drawee on which the check or order is drawn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2897 was passed by the House on May 2, 2023,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2897 was passed by the Senate on May 18,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