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88R12893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definition of preventable death of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264.501(8), Family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"Preventable death" means a death that may have been prevented by reasonable medical, social, legal, psychological, or educational intervention.  The term includes the death of a child from: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intentional or unintentional injuries;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medical neglect;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lack of access to medical care;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neglect and reckless conduct, including failure to supervise and failure to seek medical care;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premature birth associated with any factor described by Paragraphs (A) through (D)</w:t>
      </w:r>
      <w:r>
        <w:rPr>
          <w:u w:val="single"/>
        </w:rPr>
        <w:t xml:space="preserve">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suicide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