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88R24598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powers, duties, and use of funds of the Trinity Bay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282, Acts of the 51st Legislature, Regular Session, 1949, is amended by adding Sections 1a and 11a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has all the rights, powers, privileges, functions, and duties provided by the general law of this state applicable to a conservation, reclamation, and drainage district created under Section 59, Article XVI, Texas Constitution, including Chapters 49 and 56,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11a.  (a)  Except as provided by Subsection (b) of this section, the District may only use funds generated by ad valorem taxes: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flood and drainage mitigation in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pay for the administrative costs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not commingle funds generated by ad valorem taxes with funds used for freshwater distribution or sanitary sewer collection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