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88R24598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2900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2900: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Uvalde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2900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powers, duties, and use of funds of the Trinity Bay Conservation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282, Acts of the 51st Legislature, Regular Session, 1949, is amended by adding Sections 1a and 11a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1a.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has all the rights, powers, privileges, functions, and duties provided by the general law of this state applicable to a conservation, reclamation, and drainage district created under Section 59, Article XVI, Texas Constitution, including Chapters 49 and 56, Water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11a.  (a)  Except as provided by Subsection (b) of this section, the District may only use funds generated by ad valorem taxes: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flood and drainage mitigation in the District;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pay for the administrative costs of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may not commingle funds generated by ad valorem taxes with funds used for freshwater distribution or sanitary sewer collection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2900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