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Creighton)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powers, duties, and use of funds of the Trinity Bay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282, Acts of the 51st Legislature, Regular Session, 1949, is amended by adding Sections 1a and 11a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has all the rights, powers, privileges, functions, and duties provided by the general law of this state applicable to a conservation, reclamation, and drainage district created under Section 59, Article XVI, Texas Constitution, including Chapters 49 and 56, Water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11a.  (a)  Except as provided by Subsection (b) of this section, the District may only use funds generated by ad valorem taxes: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flood and drainage mitigation in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pay for the administrative costs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not commingle funds generated by ad valorem taxes with funds used for freshwater distribution or sanitary sewer collection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