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88R13362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commercial motor vehicle safety standards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police officer of any of the following municipalities is eligible to apply for certification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50,000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with a population of 25,000 or more any part of which is located in a county with a population of 500,000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with a population of less than 25,000: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part of which is located in a county with a population of 3.3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contains or is adjacent to an international 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with a population of at least 34,000 that is located in a county that borders two or more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any part of which is located in a county bordering the United Mexican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less than 5,000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adjacent to a bay connected to the Gulf of Mexico;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within 25 miles of an international port;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that does not contain a highway that is part of the national system of interstate and defense highways and is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less than 8,500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county seat;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located in a county with a population between 60,000 and 66,000 adjacent to a bay connected to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more than 40,000 and less than 50,000 that is located in a county with a population of more than 285,000 and less than 300,000 that borders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between 32,000 and 50,000 that is located entirely in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less than 250,000;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two counties that each have a population of more than 1.2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contains two highways that are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more than 3,000 and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between 150,000 and 155,000;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between 14,000 and 17,000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three or more numbered United States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is adjacent to a county with a population of more than 200,000;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less than 50,000 that is located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that generated $20 million or more in tax revenue collected under Chapters 201 and 202, Tax Code, from oil and gas production during the preceding state fiscal year;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that is adjacent to two or more counties described by Paragraph (A)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2,000 that is located in a county: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of less than 200,000;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borders: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Gulf Intracoastal Waterway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