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88R11904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Gamez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statement on a temporary tag warning against unauthorized reproduction, purchase, use, or sale of the tag.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503.062, Transportation Code, is amended by adding Subsection (d-1)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temporary tag issued under this section must include the statement "WARNING: UNAUTHORIZED REPRODUCTION, PURCHASE, USE, OR SALE OF A TEMPORARY TAG IS AN OFFENSE."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503.0625, Transportation Code, is amended by adding Subsection (e-1)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temporary tag issued under this section must include the statement "WARNING: UNAUTHORIZED REPRODUCTION, PURCHASE, USE, OR SALE OF A TEMPORARY TAG IS AN OFFENSE."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503.063, Transportation Code, is amended by adding Subsection (e-1)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 temporary tag issued under this section must include the statement "WARNING: UNAUTHORIZED REPRODUCTION, PURCHASE, USE, OR SALE OF A TEMPORARY TAG IS AN OFFENSE."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503.062(d-1), 503.0625(e-1), and 503.063(e-1), Transportation Code, as added by this Act, apply only to a temporary tag issued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