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88R10336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2904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notice to high school students and parents or guardians regarding a student's receipt of certain awards, recognitions, and scholarship opportunities.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28, Education Code, is amended by adding Section 28.0261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28.0261.</w:t>
      </w:r>
      <w:r>
        <w:rPr>
          <w:u w:val="single"/>
        </w:rPr>
        <w:t xml:space="preserve"> </w:t>
      </w:r>
      <w:r>
        <w:rPr>
          <w:u w:val="single"/>
        </w:rPr>
        <w:t xml:space="preserve"> </w:t>
      </w:r>
      <w:r>
        <w:rPr>
          <w:u w:val="single"/>
        </w:rPr>
        <w:t xml:space="preserve">NOTIFICATION OF AWARDS, RECOGNITIONS, AND SCHOLARSHIP OPPORTUNITIES. </w:t>
      </w:r>
      <w:r>
        <w:rPr>
          <w:u w:val="single"/>
        </w:rPr>
        <w:t xml:space="preserve"> </w:t>
      </w:r>
      <w:r>
        <w:rPr>
          <w:u w:val="single"/>
        </w:rPr>
        <w:t xml:space="preserve">The board of trustees of a school district and the governing body of an open-enrollment charter school shall notify each high school student enrolled at the district or school and the student's parent or guardian as soon as practicable after the school receives information indicating that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earned an award or recognition;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for a scholarship opportunity as a result of the student's achievement, including the student's qualification for the National Merit Scholarship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