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88R11612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J. Johnson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to establish rent control for persons 65 years of age or 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214.902, Local Government Code, is amended by adding Subsection (a-1) and amending Subsection (b)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the authority provided by Subsection (a), the governing body of a municipality by ordinance may establish rent control for persons 65 years of age or 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governing body shall continue or discontinue rent control </w:t>
      </w:r>
      <w:r>
        <w:rPr>
          <w:u w:val="single"/>
        </w:rPr>
        <w:t xml:space="preserve">established under Subsection (a)</w:t>
      </w:r>
      <w:r>
        <w:t xml:space="preserve"> in the same manner that the governor continues or discontinues a state of disaster under Section 418.014,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