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88R3147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2911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approval by voters prior to the issuance of revenue bonds by the San Jacinto River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10 and 10b, Chapter 426, Acts of the 45th Legislature, Regular Session, 1937, are amended to read as follows:</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The [</w:t>
      </w:r>
      <w:r>
        <w:rPr>
          <w:strike/>
        </w:rPr>
        <w:t xml:space="preserve">San Jacinto River Conservation and Reclamation</w:t>
      </w:r>
      <w:r>
        <w:t xml:space="preserve">] District shall not be authorized to issue bonds </w:t>
      </w:r>
      <w:r>
        <w:rPr>
          <w:u w:val="single"/>
        </w:rPr>
        <w:t xml:space="preserve">payable from ad valorem taxes</w:t>
      </w:r>
      <w:r>
        <w:t xml:space="preserve"> nor to incur any form of continuing obligations or indebtedness for purposes of effecting improvements comprehended in the plan of organization and administration of the District, nor incur any indebtedness in the form of a continuing charge upon land or properties within the District, unless such proposition shall have been submitted to the qualified property taxpaying voters of the District, or, in appropriate case, such voters of a defined area or political subdivision within the District, and approved by a majority of such electors voting thereon.</w:t>
      </w:r>
    </w:p>
    <w:p w:rsidR="003F3435" w:rsidRDefault="0032493E">
      <w:pPr>
        <w:spacing w:line="480" w:lineRule="auto"/>
        <w:ind w:firstLine="720"/>
        <w:jc w:val="both"/>
      </w:pPr>
      <w:r>
        <w:t xml:space="preserve">Section</w:t>
      </w:r>
      <w:r xml:space="preserve">
        <w:t> </w:t>
      </w:r>
      <w:r>
        <w:t xml:space="preserve">10b.</w:t>
      </w:r>
      <w:r xml:space="preserve">
        <w:t> </w:t>
      </w:r>
      <w:r xml:space="preserve">
        <w:t> </w:t>
      </w:r>
      <w:r>
        <w:t xml:space="preserve">The Authority shall have the authority and is hereby authorized to issue from time to time its negotiable revenue bonds for the purpose of making investigations and assembling data; for the purposes of purchasing, acquiring, and/or condemning lands, easements, rights-of-way and other properties; and for the purpose of constructing, repairing, improving and extending any structures, dams, reservoirs, transmission facilities, water treatment, water supply, sewage and other waste gathering, transmission, treatment and disposal facilities, for developing park and recreation facilities; and for the purposes of acquiring, constructing, improving, repairing and extending any other properties and facilities deemed appropriate by the Board of Directors of the Authority in the exercise of powers granted the Authority in Section 3 and elsewhere in this Act.  Any one or more or a combination of the foregoing purposes may be combined into a single issue of bonds.  Such bonds shall be issued in accordance with, and may be secured by and payable from any or all the revenues of the Authority permitted by, Section 10c hereof, including, but not limited to, the proceeds of any one or more contracts between the Authority and any persons, firms, corporations, cities and political subdivisions.  </w:t>
      </w:r>
      <w:r>
        <w:rPr>
          <w:u w:val="single"/>
        </w:rPr>
        <w:t xml:space="preserve">Revenue bonds issued under this section must be approved in an election as described by Sections 11A, 11B, 11C, 11D, 11E, 11F, and 11G of this Act.</w:t>
      </w:r>
    </w:p>
    <w:p w:rsidR="003F3435" w:rsidRDefault="0032493E">
      <w:pPr>
        <w:spacing w:line="480" w:lineRule="auto"/>
        <w:ind w:firstLine="720"/>
        <w:jc w:val="both"/>
      </w:pPr>
      <w:r>
        <w:t xml:space="preserve">If and when the Legislature remits the ad valorem tax in the counties for a certain period of years, the Directors may in their discretion if necessary with approval of the Commissioners Court of the county in the watershed use part or all of the taxes remitted to said counties for the purpose of paying back to the United States of America or any of its agencies or others the money borrowed by the Authority for the purposes herein mentioned.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426, Acts of the 45th Legislature, Regular Session, 1937, is amended by adding Sections 11A, 11B, 11C, 11D, 11E, 11F, and 11G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11A.</w:t>
      </w:r>
      <w:r>
        <w:rPr>
          <w:u w:val="single"/>
        </w:rPr>
        <w:t xml:space="preserve"> </w:t>
      </w:r>
      <w:r>
        <w:rPr>
          <w:u w:val="single"/>
        </w:rPr>
        <w:t xml:space="preserve"> </w:t>
      </w:r>
      <w:r>
        <w:rPr>
          <w:u w:val="single"/>
        </w:rPr>
        <w:t xml:space="preserve">DEFINITIONS.  In this 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"Electric cooperative" has the meaning assigned by Section 11.003, Utilities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"Municipally owned utility" has the meaning assigned by Section 11.003, Utilities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"Retail electric provider" has the meaning assigned by Section 31.002, Utilities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"Retail public utility" has the meaning assigned by Section 13.002, Water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"Revenue bond" means a public security, as defined by Section 1201.002, Government Code, that is secured wholly by revenue other than ad valorem taxes.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11B.</w:t>
      </w:r>
      <w:r>
        <w:rPr>
          <w:u w:val="single"/>
        </w:rPr>
        <w:t xml:space="preserve"> </w:t>
      </w:r>
      <w:r>
        <w:rPr>
          <w:u w:val="single"/>
        </w:rPr>
        <w:t xml:space="preserve"> </w:t>
      </w:r>
      <w:r>
        <w:rPr>
          <w:u w:val="single"/>
        </w:rPr>
        <w:t xml:space="preserve">REVENUE BOND ELECTION REQUIRED.  (a)  The District may not issue revenue bonds unless the issuance is first approved by a majority of voters in the service area of the District voting in a revenue bond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this section, the service area of the District includes the service area of any electric cooperative, municipally owned utility, retail electric provider, or retail public utility that has a contract with the District for the authority to provide electric power or water to the cooperative, provider, or utility.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Public Utility Commission of Texas shall determine the service area of a retail electric provider for the purposes of Subsection (b)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11C.</w:t>
      </w:r>
      <w:r>
        <w:rPr>
          <w:u w:val="single"/>
        </w:rPr>
        <w:t xml:space="preserve"> </w:t>
      </w:r>
      <w:r>
        <w:rPr>
          <w:u w:val="single"/>
        </w:rPr>
        <w:t xml:space="preserve"> </w:t>
      </w:r>
      <w:r>
        <w:rPr>
          <w:u w:val="single"/>
        </w:rPr>
        <w:t xml:space="preserve">ORDERING REVENUE BOND ELECTION.  (a)  The District shall order a revenue bond election in accordance with Chapter 3, Election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 revenue bond election, the District may order an election that is to be held partly outside of the territory of the District if necessary to comply with Section 11B of this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11D.</w:t>
      </w:r>
      <w:r>
        <w:rPr>
          <w:u w:val="single"/>
        </w:rPr>
        <w:t xml:space="preserve"> </w:t>
      </w:r>
      <w:r>
        <w:rPr>
          <w:u w:val="single"/>
        </w:rPr>
        <w:t xml:space="preserve"> </w:t>
      </w:r>
      <w:r>
        <w:rPr>
          <w:u w:val="single"/>
        </w:rPr>
        <w:t xml:space="preserve">CONTENTS OF REVENUE BOND ELECTION ORDER.  The revenue bond election order must distinctly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proposition language that will appear on the ballot;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location of each polling place and the hours that the polls will be open;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purpose for which the revenue bonds are to be authorized;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principal amount of the revenue bonds to be authorized;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that revenue sufficient to pay the annual principal of and interest on the revenue bonds is anticipated;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estimated changes in relevant rates or fees of the District, and any electric cooperatives, municipally owned utilities, retail electric providers, and retail public utilities in the service area of the District, as applicable, if the revenue bonds are authorized and the maximum interest rate of the revenue bonds or any series of the revenue bonds, based on the market conditions at the time of the election order;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maximum maturity date of the revenue bonds to be authorized or that the revenue bonds may be issued to mature over a specified number of years not to exceed 40;</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aggregate amount of the outstanding principal of the District's issued revenue bonds as of the beginning of the fiscal year in which the election is ordered;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aggregate amount of the outstanding interest on the District's issued revenue bonds as of the beginning of the fiscal year in which the election is ordered.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11E.</w:t>
      </w:r>
      <w:r>
        <w:rPr>
          <w:u w:val="single"/>
        </w:rPr>
        <w:t xml:space="preserve"> </w:t>
      </w:r>
      <w:r>
        <w:rPr>
          <w:u w:val="single"/>
        </w:rPr>
        <w:t xml:space="preserve"> </w:t>
      </w:r>
      <w:r>
        <w:rPr>
          <w:u w:val="single"/>
        </w:rPr>
        <w:t xml:space="preserve">CONTENTS OF PROPOSITION.  The proposition submitted in the revenue bond election must distinctly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purpose for which the revenue bonds are to be issued;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the revenue bonds;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rate of interest on the revenue bonds;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maturity date of the revenue bonds or that the revenue bonds may be issued to mature serially over a specified number of years not to exceed 40.</w:t>
      </w:r>
    </w:p>
    <w:p w:rsidR="003F3435" w:rsidRDefault="0032493E">
      <w:pPr>
        <w:spacing w:line="480" w:lineRule="auto"/>
        <w:ind w:firstLine="720"/>
        <w:jc w:val="both"/>
      </w:pPr>
      <w:r>
        <w:rPr>
          <w:u w:val="single"/>
        </w:rPr>
        <w:t xml:space="preserve">Sec.</w:t>
      </w:r>
      <w:r>
        <w:rPr>
          <w:u w:val="single"/>
        </w:rPr>
        <w:t xml:space="preserve"> </w:t>
      </w:r>
      <w:r>
        <w:rPr>
          <w:u w:val="single"/>
        </w:rPr>
        <w:t xml:space="preserve">11F.</w:t>
      </w:r>
      <w:r>
        <w:rPr>
          <w:u w:val="single"/>
        </w:rPr>
        <w:t xml:space="preserve"> </w:t>
      </w:r>
      <w:r>
        <w:rPr>
          <w:u w:val="single"/>
        </w:rPr>
        <w:t xml:space="preserve"> </w:t>
      </w:r>
      <w:r>
        <w:rPr>
          <w:u w:val="single"/>
        </w:rPr>
        <w:t xml:space="preserve">CONDUCT OF REVENUE BOND ELECTION.  (a)  The general election laws govern a revenue bond election except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revenue bond election must be held on a uniform election date provided by Section 41.001(a), Election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any notice required by Section 4.003(c), Election Code, notice of a revenue bond election must be given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publishing notice of the election in a newspaper of general circulation published in the service area of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publishing notice of the election on the District's Internet website, prominently and together with the election order prescribed by Section 11D of this 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notice required by Subsection (c)(1) of this section must be published on the same day in each of three successive weeks.  The first publication must be not less than 21 days before the date of the revenue bond election.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shall contract with the counties of the relevant service area to provide election services in a manner prescribed by Subchapter D, Chapter 31, Election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11G.</w:t>
      </w:r>
      <w:r>
        <w:rPr>
          <w:u w:val="single"/>
        </w:rPr>
        <w:t xml:space="preserve"> </w:t>
      </w:r>
      <w:r>
        <w:rPr>
          <w:u w:val="single"/>
        </w:rPr>
        <w:t xml:space="preserve"> </w:t>
      </w:r>
      <w:r>
        <w:rPr>
          <w:u w:val="single"/>
        </w:rPr>
        <w:t xml:space="preserve">BALLOT PROPOSITION.  At a revenue bond election, the ballots shall be printed to permit voting for or against the proposition: "The issuance of bonds."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11A, 11B, 11C, 11D, 11E, 11F, and 11G, Chapter 426, Acts of the 45th Legislature, Regular Session, 1937, as added by this Act, apply only to a revenue bond issued on or after the effective date of this Act.  A revenue bond issued before the effective date of this Act is governed by the applicable law in effect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