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providing or requesting or allowing another to provide a breath specimen for an ignition interlock device;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PROVIDING BREATH SPECIMEN FOR IGNITION INTERLOCK DEVICE.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"Ignition interlock device" has the meaning assigned by Article 42A.408,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"Offense relating to the operating of a motor vehicle while intoxicated," "offense of operating an aircraft while intoxicated," "offense of operating a watercraft while intoxicated," and "offense of operating or assembling an amusement ride while intoxicated" have the meanings assigned by Section 49.09.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restricted to the operation of a motor vehicle equipped with an ignition interlock device under Article 17.441 or 42A.408, Code of Criminal Procedure, Section 521.246, Transportation Code, or Section 49.09(h) of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requests or allows another person to provide a breath specimen for the ignition interlock device installed on the motor vehicle owned or most regularly driven by the actor;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subsequently operates the motor vehicle equipped with the ignition interlock device without first providing the actor's own breath specimen.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provides a breath specimen for an ignition interlock device installed on the motor vehicle of another person who the actor knows is restricted to the operation of a motor vehicle equipped with an ignition interlock device under Article 17.441 or 42A.408, Code of Criminal Procedure, Section 521.246, Transportation Code, or Section 49.09(h) of this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knows that the person who is restricted to the operation of a motor vehicle equipped with the ignition interlock device intends to subsequently operate the motor vehicle without providing the person's own breath specimen.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(b) is a Class A misdemeanor, except that the offense is a felony of the third degree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previously been convicted: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time of an offense under Section 49.08 or an offense under the laws of another state if the offense contains elements that are substantially similar to the elements of an offense under Section 49.08;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times of any offense, other than an offense described by Paragraph (A), relating to the operating of a motor vehicle while intoxicated, operating an aircraft while intoxicated, operating a watercraft while intoxicated, or operating or assembling an amusement ride while intoxicated;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the offense, the defendant was released on bond or on community supervision for an offense under Section 49.045, 49.07, or 49.08.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(c) is a Class C misdemeanor, except that the offense is a Class A misdemeanor if it is shown on the trial of the offense that the defendant has previously been convicted of an offense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