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88R3431 CXP-F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Dutton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2923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operation of free prekindergarten programs by certain school districts and to the early education allotment under the Foundation School Program.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29.153, Education Code, is amended by adding Subsection (d-3)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(d-3)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school district shall contract with a community-based child-care provider described by Subsection (g) to provide a prekindergarten class required under this section if the commissioner determines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district election for the purpose of issuing bonds for the construction or repurposing of a classroom facility to provide the prekindergarten class has failed in the 24 months preceding the determination;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district is unable to adequately staff the prekindergarten class.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48.108, Education Code, is amended by adding Subsection (a-1)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addition to the allotment under Subsection (a), a school district is entitled to an annual allotment equal to the basic allotment multiplied by 0.2 for each student in average daily attendance enrolled in a prekindergarten class required to be provided through a contract with a community-based child-care provider under Section 29.153(d-3).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29.153(d-3), Education Code, as added by this Act, applies beginning with the 2023-2024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(a)  Except as provided by Subsection (b) of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if this Act does not receive the vote necessary for immediate effect, this Act takes effect September 1, 2023.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Section 48.108(a-1), Education Code, as added by this Act,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2923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