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88R3409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2928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or application of funds under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272.001, Business &amp; Commerce Code, is amended to read as follows:</w:t>
      </w: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VOIDABLE CONTRACT </w:t>
      </w:r>
      <w:r>
        <w:rPr>
          <w:u w:val="single"/>
        </w:rPr>
        <w:t xml:space="preserve">PROVISIONS</w:t>
      </w:r>
      <w:r>
        <w:t xml:space="preserve"> [</w:t>
      </w:r>
      <w:r>
        <w:rPr>
          <w:strike/>
        </w:rPr>
        <w:t xml:space="preserve">PROVISION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272.001, Business &amp; Commerce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construction contract contains a provision that allows a party to the contract to wholly or partly withhold payment owed under one contract to satisfy a claim or damages alleged under another contract, that provision is voidable by the party whose payment may be withheld under the provision.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28.003, Property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good faith dispute does not include a dispute relating to a contract, work order, contractual arrangement, or any other agreement between the parties that is not related to the contract for construction under which payment is requested or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162.031, Property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trustee who retains or otherwise diverts trust funds due to a dispute, including an alleged default, arising under a construction contract other than the contract in connection with which the trust funds were received by or placed under the control or direction of the trustee has misapplied the trust funds.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162, Property Code, is amended by adding Section 162.034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162.034.</w:t>
      </w:r>
      <w:r>
        <w:rPr>
          <w:u w:val="single"/>
        </w:rPr>
        <w:t xml:space="preserve"> </w:t>
      </w:r>
      <w:r>
        <w:rPr>
          <w:u w:val="single"/>
        </w:rPr>
        <w:t xml:space="preserve"> </w:t>
      </w:r>
      <w:r>
        <w:rPr>
          <w:u w:val="single"/>
        </w:rPr>
        <w:t xml:space="preserve">ATTORNEY'S FEES.  The court may award costs and reasonable attorney's fees in an action brought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Except as provided by Subsection (b) of this section, the changes in law made by this Act apply only to a contract that is entered into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162.034, Property Code, as added by this Act, applies only to an action commenced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