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(d-2), continuing</w:t>
      </w:r>
      <w:r>
        <w:t xml:space="preserve"> [</w:t>
      </w:r>
      <w:r>
        <w:rPr>
          <w:strike/>
        </w:rPr>
        <w:t xml:space="preserve">Continuing</w:t>
      </w:r>
      <w:r>
        <w:t xml:space="preserve">] education requirements for a classroom teacher </w:t>
      </w:r>
      <w:r>
        <w:rPr>
          <w:u w:val="single"/>
        </w:rPr>
        <w:t xml:space="preserve">may not require</w:t>
      </w:r>
      <w:r>
        <w:t xml:space="preserve"> [</w:t>
      </w:r>
      <w:r>
        <w:rPr>
          <w:strike/>
        </w:rPr>
        <w:t xml:space="preserve">must provide</w:t>
      </w:r>
      <w:r>
        <w:t xml:space="preserve">] that [</w:t>
      </w:r>
      <w:r>
        <w:rPr>
          <w:strike/>
        </w:rPr>
        <w:t xml:space="preserve">not</w:t>
      </w:r>
      <w:r>
        <w:t xml:space="preserve">]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w:t>
      </w:r>
      <w:r>
        <w:t xml:space="preserve">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2929 was passed by the House on April 25, 2023, by the following vote:</w:t>
      </w:r>
      <w:r xml:space="preserve">
        <w:t> </w:t>
      </w:r>
      <w:r xml:space="preserve">
        <w:t> </w:t>
      </w:r>
      <w:r>
        <w:t xml:space="preserve">Yeas 147, Nays 0, 1 present, not voting; and that the House concurred in Senate amendments to H.B. No. 2929 on May 19,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2929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