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88R10651 MM-F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Lujan</w:t>
      </w:r>
      <w:r xml:space="preserve">
        <w:tab wTab="150" tlc="none" cTlc="0"/>
      </w:r>
      <w:r>
        <w:t xml:space="preserve">H.B.</w:t>
      </w:r>
      <w:r xml:space="preserve">
        <w:t> </w:t>
      </w:r>
      <w:r>
        <w:t xml:space="preserve">No.</w:t>
      </w:r>
      <w:r xml:space="preserve">
        <w:t> </w:t>
      </w:r>
      <w:r>
        <w:t xml:space="preserve">2932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establishment of and funding for additional program of all-inclusive care for the elderly (PACE) sites; making an appropriation.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32, Human Resources Code, is amended by adding Section 32.0534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32.0534.</w:t>
      </w:r>
      <w:r>
        <w:rPr>
          <w:u w:val="single"/>
        </w:rPr>
        <w:t xml:space="preserve"> </w:t>
      </w:r>
      <w:r>
        <w:rPr>
          <w:u w:val="single"/>
        </w:rPr>
        <w:t xml:space="preserve"> </w:t>
      </w:r>
      <w:r>
        <w:rPr>
          <w:u w:val="single"/>
        </w:rPr>
        <w:t xml:space="preserve">ADDITIONAL PACE PROGRAM SITES.  (a)  The commission shall establish three PACE program sites that are in addition to the PACE program sites operating before September 1, 2023.  Each of the additional sites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have capacity to serve a maximum of 300 program slots;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administered by an entity with available facility space and demonstrated administrative capacity.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PACE program site established under Subsection (a)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support the goals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increased access to health care services;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options for eligible individuals;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improved public health outcomes;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comply with Section 32.053 and all regulatory requirements;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 approved as a provider agency by the Centers for Medicare and Medicaid Services.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money appropriated by the legislature to the commission for purposes of this section is insufficient to fund the additional slots described by Subsection (a) for a state fiscal biennium, the executive commissioner shall submit a written request to the Legislative Budget Board and the governor for approval to transfer money appropriated to the commission for the biennium for other purposes to fund the additional slots.  The request is considered approved unless the Legislative Budget Board or the governor issues a written disapproval of the request not later than the 30th business day after the date Legislative Budget Board staff conclude a review of the request and forward the review to the chair of the house appropriations committee, the chair of the senate finance committee, the speaker of the house of representatives, and the lieutenant governor.  Any request for additional information the Legislative Budget Board makes tolls the counting of the 30 business days.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On the request of the commission, the Legislative Budget Board, or the governor, a PACE program provider shall provide information related to the provider's actual costs, caseloads, and services for purposes of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amount of $16.48 million is appropriated from the general revenue fund to the Health and Human Services Commission for the state fiscal year beginning September 1, 2023, for the purpose of establishing additional program of all-inclusive care for the elderly (PACE) sites in accordance with Section 32.0534, Human Resources Code, as added by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If before implementing any provision of this Act a state agency determines that a waiver or authorization from a federal agency is necessary for implementation of that provision, the agency affected by the provision shall request the waiver or authorization and may delay implementing that provision until the waiver or authorization is granted.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2932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