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88R8033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w:t>
      </w:r>
      <w:r xml:space="preserve">
        <w:tab wTab="150" tlc="none" cTlc="0"/>
      </w:r>
      <w:r>
        <w:t xml:space="preserve">H.B.</w:t>
      </w:r>
      <w:r xml:space="preserve">
        <w:t> </w:t>
      </w:r>
      <w:r>
        <w:t xml:space="preserve">No.</w:t>
      </w:r>
      <w:r xml:space="preserve">
        <w:t> </w:t>
      </w:r>
      <w:r>
        <w:t xml:space="preserve">2933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ensuring certain adoptive parents may consent to medical care and access information regarding their child who is eligible for benefits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32.02472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32.02472.</w:t>
      </w:r>
      <w:r>
        <w:rPr>
          <w:u w:val="single"/>
        </w:rPr>
        <w:t xml:space="preserve"> </w:t>
      </w:r>
      <w:r>
        <w:rPr>
          <w:u w:val="single"/>
        </w:rPr>
        <w:t xml:space="preserve"> </w:t>
      </w:r>
      <w:r>
        <w:rPr>
          <w:u w:val="single"/>
        </w:rPr>
        <w:t xml:space="preserve">PARENTAL CONSENT AND ACCESS TO INFORMATION CONCERNING CERTAIN ADOPTED CHILDREN.  The commission shall collaborate with the Department of Family and Protective Services to ensure that, if applicable, both adoptive parents of a child adopted from the conservatorship of the department and eligible for Medicaid are 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consent to the medical care provided to the child under Medicaid;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and receive information regarding the child's Medicaid benefits,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and receiving information through any electronic interface or system used by the commission to communicate to or about Medicaid recipients;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information to and receiving information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commission;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Medicaid managed care organization arranging for or providing the managed care plan in which the child is enrolled;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any health care provider providing services to the child under Medicaid.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