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88R18883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2934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2934:</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2934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Department of Transportation on the use of municipal impact fees for roadway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395, Local Government Code, is amended by adding Section 395.0115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395.0115.</w:t>
      </w:r>
      <w:r>
        <w:rPr>
          <w:u w:val="single"/>
        </w:rPr>
        <w:t xml:space="preserve"> </w:t>
      </w:r>
      <w:r>
        <w:rPr>
          <w:u w:val="single"/>
        </w:rPr>
        <w:t xml:space="preserve"> </w:t>
      </w:r>
      <w:r>
        <w:rPr>
          <w:u w:val="single"/>
        </w:rPr>
        <w:t xml:space="preserve">STUDY OF MUNICIPAL IMPACT FEES TO PAY FOR ROADWAY FACILITIES.  (a)  The Texas Department of Transportation, in consultation with the Texas A&amp;M Transportation Institute, shall conduct a study to determine the feasibility of using municipal impact fees to pay for roadway facilities that are necessary due to municipal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Texas Department of Transportation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roadway facility needs of municipalities;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debt incurred by municipalities for roadway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practicability of adopting impact fees for roadway facilities in a municipality's roadway plan, considering costs associated with fee imposition and collection;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potential and known effects of the imposition and collection of impact fees on local transportation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and known effects of the imposition and collection of impact fees on the municipality's debt;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practicability and potential effects of remitting five percent of a municipality's impact fees to the department for the construction and maintenance of state highways attributable to development in the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results of the study the Texas Department of Transportation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population threshold of a municipality for which the imposition and collection of impact fees for roadway facilities in the municipality's roadway plan is administratively feasible;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viable alternatives to municipal impact fees in municipalities where the imposition and collection of impact fees is not administratively feasible;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what extent, if any, the adoption of impact fees would alleviate the debt burden of municipalities.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Transportation shall provide the results of the study and the determinations under Subsection (c) to the members of the legislature not later than September 1, 2024.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