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88R19286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Lopez of Cameron</w:t>
      </w:r>
      <w:r xml:space="preserve">
        <w:tab wTab="150" tlc="none" cTlc="0"/>
      </w:r>
      <w:r>
        <w:t xml:space="preserve">H.B.</w:t>
      </w:r>
      <w:r xml:space="preserve">
        <w:t> </w:t>
      </w:r>
      <w:r>
        <w:t xml:space="preserve">No.</w:t>
      </w:r>
      <w:r xml:space="preserve">
        <w:t> </w:t>
      </w:r>
      <w:r>
        <w:t xml:space="preserve">2935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2935:</w:t>
      </w:r>
    </w:p>
    <w:p w:rsidR="003F3435" w:rsidRDefault="0032493E">
      <w:pPr>
        <w:spacing w:line="480" w:lineRule="auto"/>
        <w:jc w:val="both"/>
        <w:tabs>
          <w:tab w:val="right" w:leader="none" w:pos="9350"/>
        </w:tabs>
      </w:pPr>
      <w:r>
        <w:t xml:space="preserve">By:</w:t>
      </w:r>
      <w:r xml:space="preserve">
        <w:t> </w:t>
      </w:r>
      <w:r xml:space="preserve">
        <w:t> </w:t>
      </w:r>
      <w:r>
        <w:t xml:space="preserve">Herrero</w:t>
      </w:r>
      <w:r xml:space="preserve">
        <w:tab wTab="150" tlc="none" cTlc="0"/>
      </w:r>
      <w:r>
        <w:t xml:space="preserve">C.S.H.B.</w:t>
      </w:r>
      <w:r xml:space="preserve">
        <w:t> </w:t>
      </w:r>
      <w:r>
        <w:t xml:space="preserve">No.</w:t>
      </w:r>
      <w:r xml:space="preserve">
        <w:t> </w:t>
      </w:r>
      <w:r>
        <w:t xml:space="preserve">2935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veterans placed on community supervision or confined in the Texas Department of Criminal Justice.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501.024(b),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in consultation with the Texas Veterans Commission, investigate and verify the veteran status of each inmate by using the best available federal data; and</w:t>
      </w:r>
    </w:p>
    <w:p w:rsidR="003F3435" w:rsidRDefault="0032493E">
      <w:pPr>
        <w:spacing w:line="480" w:lineRule="auto"/>
        <w:ind w:firstLine="1440"/>
        <w:jc w:val="both"/>
      </w:pPr>
      <w:r>
        <w:t xml:space="preserve">(2)</w:t>
      </w:r>
      <w:r xml:space="preserve">
        <w:t> </w:t>
      </w:r>
      <w:r xml:space="preserve">
        <w:t> </w:t>
      </w:r>
      <w:r>
        <w:t xml:space="preserve">use the data described by Subdivision (1) to assist inmates who are veterans in applying for</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federal benefits or compensation for which the inmates may be eligible under a program administered by the United States Department of Veterans Affairs</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state benefits or compensation for which the inmates may be eligible under any state law or program</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501, Government Code, is amended by adding Section 501.1021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501.1021.</w:t>
      </w:r>
      <w:r>
        <w:rPr>
          <w:u w:val="single"/>
        </w:rPr>
        <w:t xml:space="preserve"> </w:t>
      </w:r>
      <w:r>
        <w:rPr>
          <w:u w:val="single"/>
        </w:rPr>
        <w:t xml:space="preserve"> </w:t>
      </w:r>
      <w:r>
        <w:rPr>
          <w:u w:val="single"/>
        </w:rPr>
        <w:t xml:space="preserve">REENTRY AND REINTEGRATION SERVICES FOR VETERANS.  (a)  The department shall develop a comprehensive plan to ensure the successful reentry and reintegration into the community following discharge or release on parole or to mandatory supervision from the department of inmates whose veteran status has been verified by the department under Section 501.024(b)(1).  The reentry and reintegration plan developed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utilize all benefits that the inmate is eligible for as determined by the department under Section 501.024(b)(2) to provide for the following, as applicable, after the inmate's discharge or release on parole or to mandatory supervision: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housing;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employment;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education;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financial support for the inmate's family;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medical or mental health care;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the department to maintain written documentation in the inmate's file that describes each benefit the inmate is eligible for and how the plan utilizes the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contract with private vendors or other entities to implement the comprehensive reentry and reintegration plan as required by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509, Government Code, is amended by adding Section 509.0042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509.0042.</w:t>
      </w:r>
      <w:r>
        <w:rPr>
          <w:u w:val="single"/>
        </w:rPr>
        <w:t xml:space="preserve"> </w:t>
      </w:r>
      <w:r>
        <w:rPr>
          <w:u w:val="single"/>
        </w:rPr>
        <w:t xml:space="preserve"> </w:t>
      </w:r>
      <w:r>
        <w:rPr>
          <w:u w:val="single"/>
        </w:rPr>
        <w:t xml:space="preserve">VETERANS BENEFITS PLAN.  The division shall require each department to develop and implement a comprehensive plan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if a defendant placed on community supervision is a veteran;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assist the defendant in obtaining any federal or state veterans benefits for which the defendant is eligible to provide for the following, as applicable, during the defendant's term of community supervision: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housing;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employment;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education;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financial support for the defendant's family;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medical or mental health care.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2935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