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88R9215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requirements regarding public school class size.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12A.004(a),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local innovation plan may not provide for the exemption of a district designated as a district of innovation from the following provisions of this 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state or federal requirement applicable to an open-enrollment charter school operating under Subchapter D, Chapter 12;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Subchapters A, C, D, and E, Chapter 11, except that a district may be exempt from Sections 11.1511(b)(5) and (14) and Section 11.162;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requirements related to class size limits under Section 25.112 and notice regarding class size under Section 25.113;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state curriculum and graduation requirements adopted under Chapter 28;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academic and financial accountability and sanctions under Chapters 39 and 39A.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25.113, Education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Regardless of whether a school district or campus in the district is granted an exception under Section 25.112(d), the school district shall publish on the district's publicly accessible Internet website a list of classes in the district in which the number of students exceeds the class size limits under Section 25.112.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