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88R12320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Bumgarner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office hours of an election authority during an election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31.122(b),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In this section, "regular business day"</w:t>
      </w:r>
      <w:r>
        <w:t xml:space="preserve"> [</w:t>
      </w:r>
      <w:r>
        <w:rPr>
          <w:strike/>
        </w:rPr>
        <w:t xml:space="preserve">If the political subdivision is an independent school district, a regular business day</w:t>
      </w:r>
      <w:r>
        <w:t xml:space="preserve">] means a day on which the [</w:t>
      </w:r>
      <w:r>
        <w:rPr>
          <w:strike/>
        </w:rPr>
        <w:t xml:space="preserve">school district's</w:t>
      </w:r>
      <w:r>
        <w:t xml:space="preserve">] main business office </w:t>
      </w:r>
      <w:r>
        <w:rPr>
          <w:u w:val="single"/>
        </w:rPr>
        <w:t xml:space="preserve">of the county, city, or other political subdivision</w:t>
      </w:r>
      <w:r>
        <w:t xml:space="preserve"> is regularly open for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