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annexation of an area adjacent to contiguous or connecting railroad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43, Local Government Code, is amended by adding Section 43.1057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43.1057.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OF AREA ADJACENT TO CONTIGUOUS OR CONNECTING RAILROAD RIGHT-OF-WAY.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municipality that is annexing an area under Subchapter C-3, C-4, C-5, or D may also annex with the initial area an additional area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area is adjacent to a right-of-way of a railway line, spur, or other railroad property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and runs parallel to the municipality's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area being annexed under Subchapter C-3, C-4, C-5, or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owner of the area agrees to the annexation by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(a) or other law with a municipal boundary contiguous requirement, including a municipal charter or ordinance, an area adjacent or contiguous to the initial area being annexed under Subsection (a) is considered adjacent and contiguous to the annexing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43.054 does not apply to the annexation under this section of the additional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