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2956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municipal annexation of an area adjacent to contiguous or connecting railroad rights-of-way.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E, Chapter 43, Local Government Code, is amended by adding Section 43.1057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43.1057.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ANNEXATION OF AREA ADJACENT TO CONTIGUOUS OR CONNECTING RAILROAD RIGHT-OF-WAY. </w:t>
      </w:r>
      <w:r>
        <w:rPr>
          <w:u w:val="single"/>
        </w:rPr>
        <w:t xml:space="preserve"> </w:t>
      </w:r>
      <w:r>
        <w:rPr>
          <w:u w:val="single"/>
        </w:rPr>
        <w:t xml:space="preserve">(a) </w:t>
      </w:r>
      <w:r>
        <w:rPr>
          <w:u w:val="single"/>
        </w:rPr>
        <w:t xml:space="preserve"> </w:t>
      </w:r>
      <w:r>
        <w:rPr>
          <w:u w:val="single"/>
        </w:rPr>
        <w:t xml:space="preserve">Notwithstanding any other law, a municipality that is annexing an area under Subchapter C-3, C-4, C-5, or D may also annex with the initial area an additional area if: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area is adjacent to a right-of-way of a railway line, spur, or other railroad property that is: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contiguous and runs parallel to the municipality's boundaries;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contiguous to the area being annexed under Subchapter C-3, C-4, C-5, or D;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each owner of the area agrees to the annexation by the municipality.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For purposes of Subsection (a) or other law with a municipal boundary contiguous requirement, including a municipal charter or ordinance, an area adjacent or contiguous to the initial area being annexed under Subsection (a) is considered adjacent and contiguous to the annexing municipality.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Section 43.054 does not apply to the annexation under this section of the additional area described by Subsection (a).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2023.</w:t>
      </w:r>
    </w:p>
    <w:p>
      <w:r>
        <w:br w:type="page"/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r xml:space="preserve">
        <w:tab wTab="150" tlc="none" cTlc="0"/>
      </w: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2956 was passed by the House on May 6, 2023, by the following vote:</w:t>
      </w:r>
      <w:r xml:space="preserve">
        <w:t> </w:t>
      </w:r>
      <w:r xml:space="preserve">
        <w:t> </w:t>
      </w:r>
      <w:r>
        <w:t xml:space="preserve">Yeas 108, Nays 30, 1 present, not voting.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2956 was passed by the Senate on May 21, 2023, by the following vote:</w:t>
      </w:r>
      <w:r xml:space="preserve">
        <w:t> </w:t>
      </w:r>
      <w:r xml:space="preserve">
        <w:t> </w:t>
      </w:r>
      <w:r>
        <w:t xml:space="preserve">Yeas 27, Nays 4.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Secretary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>
        <w:t xml:space="preserve">APPROVED: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2956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