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88R10935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 Neave Criado, Gates, Plesa</w:t>
      </w:r>
      <w:r xml:space="preserve">
        <w:tab wTab="150" tlc="none" cTlc="0"/>
      </w:r>
      <w:r>
        <w:t xml:space="preserve">H.B.</w:t>
      </w:r>
      <w:r xml:space="preserve">
        <w:t> </w:t>
      </w:r>
      <w:r>
        <w:t xml:space="preserve">No.</w:t>
      </w:r>
      <w:r xml:space="preserve">
        <w:t> </w:t>
      </w:r>
      <w:r>
        <w:t xml:space="preserve">2959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children committed to the Texas Juvenile Justice Department and prisoners serving a sentence in a county jail with certain documents on discharge or release;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245.0536(b),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w:t>
      </w:r>
      <w:r>
        <w:rPr>
          <w:u w:val="single"/>
        </w:rPr>
        <w:t xml:space="preserve">on intake of the child</w:t>
      </w:r>
      <w:r>
        <w:t xml:space="preserve"> [</w:t>
      </w:r>
      <w:r>
        <w:rPr>
          <w:strike/>
        </w:rPr>
        <w:t xml:space="preserve">as soon as is practicable</w:t>
      </w:r>
      <w:r>
        <w:t xml:space="preserve">] to enable the department to receive the personal identification certificate before the department releases or discharges the child and to provide the child with the personal identification certificate when the department releases or discharges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245.0537(b),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w:t>
      </w:r>
      <w:r>
        <w:rPr>
          <w:u w:val="single"/>
        </w:rPr>
        <w:t xml:space="preserve">on intake of the child</w:t>
      </w:r>
      <w:r>
        <w:t xml:space="preserve"> [</w:t>
      </w:r>
      <w:r>
        <w:rPr>
          <w:strike/>
        </w:rPr>
        <w:t xml:space="preserve">as soon as is practicable</w:t>
      </w:r>
      <w:r>
        <w:t xml:space="preserve">] to enable the department to receive the applicable document before the department releases or discharges the child and to provide the child with the applicable document when the department releases or discharges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351, Local Government Code, is amended by adding Sections 351.049 and 351.050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351.049.</w:t>
      </w:r>
      <w:r>
        <w:rPr>
          <w:u w:val="single"/>
        </w:rPr>
        <w:t xml:space="preserve"> </w:t>
      </w:r>
      <w:r>
        <w:rPr>
          <w:u w:val="single"/>
        </w:rPr>
        <w:t xml:space="preserve"> </w:t>
      </w:r>
      <w:r>
        <w:rPr>
          <w:u w:val="single"/>
        </w:rPr>
        <w:t xml:space="preserve">PROVIDING DISCHARGED PRISONER WITH STATE-ISSUED IDENTIFICATION.  (a)  Before discharging a prisoner serving a sentence in a county jail, the sheriff of the county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prisoner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valid license issued under Chapter 521 or 522, Transportation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valid personal identification certificate issued under Chapter 521,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prisoner does not have a valid license or certificate described by Subdivision (1), submit to the Department of Public Safety on behalf of the prisoner a request for the issuance of a personal identification certificate under Chapter 521,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shall submit a request under Subsection (a)(2) on intake of the prisoner to enable the sheriff to provide the prisoner with the personal identification certificate when the prisoner is discharged from the county jail.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on Jail Standards, the Department of Public Safety, and the vital statistics unit of the Department of State Health Services shall adopt a memorandum of understanding that establishes the respective responsibilities of a sheriff, the Department of Public Safety, and the Department of State Health Services with respect to the issuance of a personal identification certificate to a prisoner serving a sentence in a county jail, including responsibilities related to verification of the prisoner's identity.  The memorandum of understanding must require the Department of State Health Services to electronically verify the birth record of a prisoner whose name and any other personal information is provided by the sheriff and to electronically report the recorded filing information to the Department of Public Safety to validate the identity of a prisoner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sheriff or commissioners court of the county shall reimburse the Department of Public Safety or the Department of State Health Services for the actual costs incurred by those agencies in performing responsibilities established under this section.  The sheriff may charge a prisoner for the actual costs incurred under this section or the fees required by Section 521.421, Transportation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prisoner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legally present in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resident of this state before the prisoner was placed in the custody of the sheriff.</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351.050.</w:t>
      </w:r>
      <w:r>
        <w:rPr>
          <w:u w:val="single"/>
        </w:rPr>
        <w:t xml:space="preserve"> </w:t>
      </w:r>
      <w:r>
        <w:rPr>
          <w:u w:val="single"/>
        </w:rPr>
        <w:t xml:space="preserve"> </w:t>
      </w:r>
      <w:r>
        <w:rPr>
          <w:u w:val="single"/>
        </w:rPr>
        <w:t xml:space="preserve">PROVIDING DISCHARGED PRISONER WITH BIRTH CERTIFICATE AND SOCIAL SECURITY CARD.  (a)  In addition to complying with the requirements of Section 351.049, before discharging a prisoner serving a sentence in a county jail, the sheriff of the county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prisoner has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certified copy of the prisoner's birth certificate;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copy of the prisoner's social security card;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prisoner does not have a document described by Subdivision (1), submit to the appropriate entity on behalf of the prisoner a request for the issuance of the applicable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sheriff shall submit a request under Subsection (a)(2) on intake of the prisoner to enable the sheriff to provide the prisoner with the applicable document when the prisoner is discharged from the county jail.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prisoner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legally present in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resident of this state before the prisoner was placed in the custody of the sheriff.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351.049 and 351.050, Local Government Code, as added by this Act, apply only to the discharge of a prisoner that occurs on or after December 1, 2023.  A discharge that occurs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