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criminal responsibility for the conduct of a coconspirator.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if the offense was committed in furtherance of the unlawful purpose and was one that should have been anticipated as a result of the carrying out of the conspiracy. </w:t>
      </w:r>
      <w:r>
        <w:rPr>
          <w:u w:val="single"/>
        </w:rPr>
        <w:t xml:space="preserve">In this subsection, "conspiracy" means an agreement between two or more persons to commit a felony.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2961 was passed by the House on May 6, 2023, by the following vote:</w:t>
      </w:r>
      <w:r xml:space="preserve">
        <w:t> </w:t>
      </w:r>
      <w:r xml:space="preserve">
        <w:t> </w:t>
      </w:r>
      <w:r>
        <w:t xml:space="preserve">Yeas 116, Nays 18,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2961 was passed by the Senate on May 24,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