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et al.</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2961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15,</w:t>
      </w:r>
      <w:r xml:space="preserve">
        <w:t> </w:t>
      </w:r>
      <w:r>
        <w:t xml:space="preserve">2023, read first time and referred to Committee on State Affairs;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criminal responsibility for the conduct of a coconspirator.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7.02(b), Penal Code, is amended to read as follows:</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if the offense was committed in furtherance of the unlawful purpose and was one that should have been anticipated as a result of the carrying out of the conspiracy. </w:t>
      </w:r>
      <w:r>
        <w:rPr>
          <w:u w:val="single"/>
        </w:rPr>
        <w:t xml:space="preserve">In this subsection, "conspiracy" means an agreement between two or more persons to commit a felony.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