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88R7877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2966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beneficial tax treatment related to a leasehold or other possessory interest in a public facility used to provide affordable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303.042, Local Government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An exemption under this section for a multifamily residential development which is owned by a public facility corporation created [</w:t>
      </w:r>
      <w:r>
        <w:rPr>
          <w:strike/>
        </w:rPr>
        <w:t xml:space="preserve">by a housing authority</w:t>
      </w:r>
      <w:r>
        <w:t xml:space="preserve">] under this chapter and which does not have at least 20 percent of its units reserved for public housing units, applies only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sponsor of the corporation</w:t>
      </w:r>
      <w:r>
        <w:t xml:space="preserve"> </w:t>
      </w:r>
      <w:r>
        <w:t xml:space="preserve">[</w:t>
      </w:r>
      <w:r>
        <w:rPr>
          <w:strike/>
        </w:rPr>
        <w:t xml:space="preserve">housing authority</w:t>
      </w:r>
      <w:r>
        <w:t xml:space="preserve">] holds a public hearing, at a regular meeting of the </w:t>
      </w:r>
      <w:r>
        <w:rPr>
          <w:u w:val="single"/>
        </w:rPr>
        <w:t xml:space="preserve">sponsor's</w:t>
      </w:r>
      <w:r>
        <w:t xml:space="preserve"> </w:t>
      </w:r>
      <w:r>
        <w:t xml:space="preserve">[</w:t>
      </w:r>
      <w:r>
        <w:rPr>
          <w:strike/>
        </w:rPr>
        <w:t xml:space="preserve">authority's</w:t>
      </w:r>
      <w:r>
        <w:t xml:space="preserve">] governing body, to approve the development;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at least </w:t>
      </w:r>
      <w:r>
        <w:rPr>
          <w:u w:val="single"/>
        </w:rPr>
        <w:t xml:space="preserve">75</w:t>
      </w:r>
      <w:r>
        <w:t xml:space="preserve"> [</w:t>
      </w:r>
      <w:r>
        <w:rPr>
          <w:strike/>
        </w:rPr>
        <w:t xml:space="preserve">50</w:t>
      </w:r>
      <w:r>
        <w:t xml:space="preserve">] percent of the units in the multifamily residential development are reserved for occupancy by individuals and families earning less than 80 percent of the area median family income</w:t>
      </w:r>
      <w:r>
        <w:rPr>
          <w:u w:val="single"/>
        </w:rPr>
        <w:t xml:space="preserve">, adjusted for family size;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later than April 1 of each year, the corporation submits to the chief appraiser of the appraisal district in which the development is located an audit report for a compliance audit conducted by an independent auditor or compliance expert that establishes that the multifamily residential development is in compliance with the requirements of this section</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An exemption under this section does not apply for a tax year in which a multifamily residential development that is owned by a public facility corporation created under this chapter and that is required to submit an audit report under Subsection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submit the required audit report;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an audit report that does not establish that the development is in compliance with the requirements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Section 303.042, Local Government Code, as amended by this Act, applies only to a multifamily residential development that is approved on or after the effective date of this Act.  A multifamily residential development that is approved before the effective date of this Act is governed by the law in effect on the date the development was approved,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