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88R3902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2968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interruption of utility service by a residential landlord.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92.008, Property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in addition to other remedies available under law, recover from the landlord an amount equal to the sum of the tenant's actual damages, </w:t>
      </w:r>
      <w:r>
        <w:rPr>
          <w:u w:val="single"/>
        </w:rPr>
        <w:t xml:space="preserve">the tenant's security deposit,</w:t>
      </w:r>
      <w:r>
        <w:t xml:space="preserve"> one month's rent plus $1,000, reasonable attorney's fees, and court costs[</w:t>
      </w:r>
      <w:r>
        <w:rPr>
          <w:strike/>
        </w:rPr>
        <w:t xml:space="preserve">, less any delinquent rents or other sums for which the tenant is liable to the landlord</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landlord who violates this section may not collect delinquent rent from a tenant.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