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88R10959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Frank, Noble, Capriglione, 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maximum age or age differential for prospective adoptive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162, Family Code, is amended by adding Section 162.604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162.604.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MAXIMUM AGE RESTRICTION FOR ADOPTIVE PARENTS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Family and Protective Services, a single source continuum contractor, or a licensed child-placing agency that places a child for adoption may not implement or enforce a policy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for any prospective adoptive parent;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differential between a child and any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(a), the Department of Family and Protective Services, a single source continuum contractor, or a licensed child-placing agency may consider the health and expected lifespan of each prospective adoptive parent when determining the best interest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