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88R10959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maximum age or age differential for prospective adoptive parents.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162, Family Code, is amended by adding Section 162.604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162.604.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MAXIMUM AGE RESTRICTION FOR ADOPTIVE PARENTS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Family and Protective Services, a single source continuum contractor, or a licensed child-placing agency that places a child for adoption may not implement or enforce a policy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for any prospective adoptive parent;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sets a maximum age differential between a child and any prospective adoptive parent.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(a), the Department of Family and Protective Services, a single source continuum contractor, or a licensed child-placing agency may consider the health and expected lifespan of each prospective adoptive parent when determining the best interest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