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88R9288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municipal regulation of HUD-code manufactured homes.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1201.008, Occupations Code, is amended by adding Subsections (g), (h), (i), (j), and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other than Subsections (h), (i), and (k), a municipality shall allow the placement of a new HUD-code manufactured home as a permitted use in all zoning classifications that allow detached residential single-family or duplex dwellings, if the owner of the HUD-code manufactured home elects to treat the manufactured home as real property under Section 1201.2055.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adopt an ordinance, regulation, or other measure that requires a new HUD-code manufactured home elected to be treated as real property and used as a single-family or duplex dwelling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 value equal to or greater than the median taxable value of each single-family dwelling located within 500 feet of the lot on which the new HUD-code manufactured home is proposed to be placed, as determined by the most recent certified tax appraisal roll for the properties;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exterior siding, roofing, foundation fascia, and fenestration compatible with each single-family dwelling located within 500 feet of the lot on which the new HUD-code manufactured home is proposed to be placed;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municipality's aesthetic, building setback, side and rear yard offset, subdivision control, architectural landscaping, square footage, and other site requirements that would apply to a single-family dwelling constructed on the site;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securely placed on a permanent foundation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(h), the value of a HUD-code manufactured home is the taxable or initial sales value of the HUD-code manufactured home and the value of the lot after the placement of the HUD-code manufactured home on the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regulation, or other measure that imposes a requirement on a new HUD-code manufactured home elected to be treated as real property under Section 1201.2055 that is more stringent than the regulations that would apply to a new single-family or duplex dwelling constructed on the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the authority of a municipality to adopt an ordinance, regulation, or other measure to protect historic properties or historic districts; 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affect deed restrictions.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