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88R9288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municipal regulation of HUD-code manufactured homes.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1201.008, Occupations Code, is amended by adding Subsections (g), (h), (i), (j), and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other than Subsections (h), (i), and (k), a municipality shall allow the placement of a new HUD-code manufactured home as a permitted use in all zoning classifications that allow detached residential single-family or duplex dwellings, if the owner of the HUD-code manufactured home elects to treat the manufactured home as real property under Section 1201.2055.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adopt an ordinance, regulation, or other measure that requires a new HUD-code manufactured home elected to be treated as real property and used as a single-family or duplex dwelling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 value equal to or greater than the median taxable value of each single-family dwelling located within 500 feet of the lot on which the new HUD-code manufactured home is proposed to be placed, as determined by the most recent certified tax appraisal roll for the properties;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exterior siding, roofing, foundation fascia, and fenestration compatible with each single-family dwelling located within 500 feet of the lot on which the new HUD-code manufactured home is proposed to be placed;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municipality's aesthetic, building setback, side and rear yard offset, subdivision control, architectural landscaping, square footage, and other site requirements that would apply to a single-family dwelling constructed on the site;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securely placed on a permanent foundation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(h), the value of a HUD-code manufactured home is the taxable or initial sales value of the HUD-code manufactured home and the value of the lot after the placement of the HUD-code manufactured home on the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regulation, or other measure that imposes a requirement on a new HUD-code manufactured home elected to be treated as real property under Section 1201.2055 that is more stringent than the regulations that would apply to a new single-family or duplex dwelling constructed on the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the authority of a municipality to adopt an ordinance, regulation, or other measure to protect historic properties or historic districts;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affect deed restrictions.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