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88R11094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delivery of cottage food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437.001(2-b),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(2-b)</w:t>
      </w:r>
      <w:r xml:space="preserve">
        <w:t> </w:t>
      </w:r>
      <w:r xml:space="preserve">
        <w:t> </w:t>
      </w:r>
      <w:r>
        <w:t xml:space="preserve">"Cottage food production operation" means an individual, operating out of the individual's home,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produces at the individual's home, subject to Section 437.0196: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baked good that is not a time and temperature control for safety food, as defined by Section 437.0196;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candy;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coated and uncoated nuts;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unroasted nut butters;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fruit butters;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a canned jam or jelly;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a fruit pie;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(viii)</w:t>
      </w:r>
      <w:r xml:space="preserve">
        <w:t> </w:t>
      </w:r>
      <w:r xml:space="preserve">
        <w:t> </w:t>
      </w:r>
      <w:r>
        <w:t xml:space="preserve">dehydrated fruit or vegetables, including dried beans;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(ix)</w:t>
      </w:r>
      <w:r xml:space="preserve">
        <w:t> </w:t>
      </w:r>
      <w:r xml:space="preserve">
        <w:t> </w:t>
      </w:r>
      <w:r>
        <w:t xml:space="preserve">popcorn and popcorn snacks;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(x)</w:t>
      </w:r>
      <w:r xml:space="preserve">
        <w:t> </w:t>
      </w:r>
      <w:r xml:space="preserve">
        <w:t> </w:t>
      </w:r>
      <w:r>
        <w:t xml:space="preserve">cereal, including granola;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(xi)</w:t>
      </w:r>
      <w:r xml:space="preserve">
        <w:t> </w:t>
      </w:r>
      <w:r xml:space="preserve">
        <w:t> </w:t>
      </w:r>
      <w:r>
        <w:t xml:space="preserve">dry mix;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(xii)</w:t>
      </w:r>
      <w:r xml:space="preserve">
        <w:t> </w:t>
      </w:r>
      <w:r xml:space="preserve">
        <w:t> </w:t>
      </w:r>
      <w:r>
        <w:t xml:space="preserve">vinegar;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(xiii)</w:t>
      </w:r>
      <w:r xml:space="preserve">
        <w:t> </w:t>
      </w:r>
      <w:r xml:space="preserve">
        <w:t> </w:t>
      </w:r>
      <w:r>
        <w:t xml:space="preserve">pickled fruit or vegetables, including beets and carrots, that are preserved in vinegar, brine, or a similar solution at an equilibrium pH value of 4.6 or less;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(xiv)</w:t>
      </w:r>
      <w:r xml:space="preserve">
        <w:t> </w:t>
      </w:r>
      <w:r xml:space="preserve">
        <w:t> </w:t>
      </w:r>
      <w:r>
        <w:t xml:space="preserve">mustard;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(xv)</w:t>
      </w:r>
      <w:r xml:space="preserve">
        <w:t> </w:t>
      </w:r>
      <w:r xml:space="preserve">
        <w:t> </w:t>
      </w:r>
      <w:r>
        <w:t xml:space="preserve">roasted coffee or dry tea;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(xvi)</w:t>
      </w:r>
      <w:r xml:space="preserve">
        <w:t> </w:t>
      </w:r>
      <w:r xml:space="preserve">
        <w:t> </w:t>
      </w:r>
      <w:r>
        <w:t xml:space="preserve">a dried herb or dried herb mix;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(xvii)</w:t>
      </w:r>
      <w:r xml:space="preserve">
        <w:t> </w:t>
      </w:r>
      <w:r xml:space="preserve">
        <w:t> </w:t>
      </w:r>
      <w:r>
        <w:t xml:space="preserve">plant-based acidified canned goods;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(xviii)</w:t>
      </w:r>
      <w:r xml:space="preserve">
        <w:t> </w:t>
      </w:r>
      <w:r xml:space="preserve">
        <w:t> </w:t>
      </w:r>
      <w:r>
        <w:t xml:space="preserve">fermented vegetable products, including products that are refrigerated to preserve quality;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(xix)</w:t>
      </w:r>
      <w:r xml:space="preserve">
        <w:t> </w:t>
      </w:r>
      <w:r xml:space="preserve">
        <w:t> </w:t>
      </w:r>
      <w:r>
        <w:t xml:space="preserve">frozen raw and uncut fruit or vegetables;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(xx)</w:t>
      </w:r>
      <w:r xml:space="preserve">
        <w:t> </w:t>
      </w:r>
      <w:r xml:space="preserve">
        <w:t> </w:t>
      </w:r>
      <w:r>
        <w:t xml:space="preserve">any other food that is not a time and temperature control for safety food, as defined by Section 437.0196;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an annual gross income of $50,000 or less from the sale of food described by Paragraph (A);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sells the foods produced under Paragraph (A) only directly to consumers;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delivers products to the consumer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 xml:space="preserve">
        <w:t> </w:t>
      </w:r>
      <w:r>
        <w:t xml:space="preserve">at the point of sale or another location designated by the consumer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mail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437.0194(b),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cottage food production operation may sell a food described by Section 437.001(2-b)(A) in this state through the Internet or by mail order only if[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consumer purchases the food through the Internet or by mail order from the operation and the operator personally delivers the food to the consumer;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subject to Subsection (c), before the operator accepts payment for the food, the operator provides all labeling information required by Section 437.0193(d) and department rules to the consumer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posting a legible statement on the operation's Internet website;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publishing the information in a catalog;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otherwise communicating the information to the consumer.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