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88R9895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2976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elective course on firearms safety for public high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28.0121.</w:t>
      </w:r>
      <w:r>
        <w:rPr>
          <w:u w:val="single"/>
        </w:rPr>
        <w:t xml:space="preserve"> </w:t>
      </w:r>
      <w:r>
        <w:rPr>
          <w:u w:val="single"/>
        </w:rPr>
        <w:t xml:space="preserve"> </w:t>
      </w:r>
      <w:r>
        <w:rPr>
          <w:u w:val="single"/>
        </w:rPr>
        <w:t xml:space="preserve">FIREARMS SAFETY ELECTIVE COURSE. </w:t>
      </w:r>
      <w:r>
        <w:rPr>
          <w:u w:val="single"/>
        </w:rPr>
        <w:t xml:space="preserve"> </w:t>
      </w:r>
      <w:r>
        <w:rPr>
          <w:u w:val="single"/>
        </w:rPr>
        <w:t xml:space="preserve">(a) </w:t>
      </w:r>
      <w:r>
        <w:rPr>
          <w:u w:val="single"/>
        </w:rPr>
        <w:t xml:space="preserve"> </w:t>
      </w:r>
      <w:r>
        <w:rPr>
          <w:u w:val="single"/>
        </w:rPr>
        <w:t xml:space="preserve">A school district or open-enrollment charter school that offers a high school program may offer to students in high school an elective course on firearms safety based on the curriculum guidelines developed under Subsection (b). The course must meet the requirements for a one-half elective credit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Education shall develop curriculum guidelines for the elective course on firearms safety. The curriculum guidelines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focus on accident prevention;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the safety and protection of students;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emphasize how students should respond when encountering a firearm;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information contained in the firearms safety portion of a hunter education course under Section 62.014, Parks and Wildlife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Education shall develop a virtual course on firearms safety that meets the requirements of an elective course under Subsection (a) for a school district or open-enrollment charter school to offer to high school students.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Education shall make the virtual course on firearms safety developed under Subsection (c)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Parks and Wildlife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entity described by Subsection (d) shall make the virtual course on firearms safety available to the public free of charge through the entity's Internet website.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State Board of Education shall:</w:t>
      </w:r>
    </w:p>
    <w:p w:rsidR="003F3435" w:rsidRDefault="0032493E">
      <w:pPr>
        <w:spacing w:line="480" w:lineRule="auto"/>
        <w:ind w:firstLine="1440"/>
        <w:jc w:val="both"/>
      </w:pPr>
      <w:r>
        <w:t xml:space="preserve">(1)</w:t>
      </w:r>
      <w:r xml:space="preserve">
        <w:t> </w:t>
      </w:r>
      <w:r xml:space="preserve">
        <w:t> </w:t>
      </w:r>
      <w:r>
        <w:t xml:space="preserve">develop the curriculum guidelines required under Section 28.0121(b), Education Code, as added by this Act; and</w:t>
      </w:r>
    </w:p>
    <w:p w:rsidR="003F3435" w:rsidRDefault="0032493E">
      <w:pPr>
        <w:spacing w:line="480" w:lineRule="auto"/>
        <w:ind w:firstLine="1440"/>
        <w:jc w:val="both"/>
      </w:pPr>
      <w:r>
        <w:t xml:space="preserve">(2)</w:t>
      </w:r>
      <w:r xml:space="preserve">
        <w:t> </w:t>
      </w:r>
      <w:r xml:space="preserve">
        <w:t> </w:t>
      </w:r>
      <w:r>
        <w:t xml:space="preserve">develop the virtual course on firearms safety required under Section 28.0121(c),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28.0121,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