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88R602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2981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methods by which the comptroller may provide notice of a hearing on the revocation or suspension, or of the revocation or suspension, of a permit or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111.0047, Tax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t xml:space="preserve">Notices under this section may be served on the holder of the permit or license personally or may be mailed to the holder's address as shown in the records of the comptroller.  </w:t>
      </w:r>
      <w:r>
        <w:rPr>
          <w:u w:val="single"/>
        </w:rPr>
        <w:t xml:space="preserve">At the option of the holder of the permit or license, the notices may be served by electronic means instead of served personally or mailed.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notice served by electronic means must be addressed to the person's e-mail address as it appears in the comptroller's records. Service by electronic means is complete when the comptroller transmits the notice to the person's e-mail address.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